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7D" w:rsidRPr="0075777D" w:rsidRDefault="0075777D" w:rsidP="0075777D">
      <w:pPr>
        <w:pBdr>
          <w:bottom w:val="thinThickSmallGap" w:sz="12" w:space="1" w:color="002060"/>
        </w:pBdr>
        <w:spacing w:before="400"/>
        <w:jc w:val="left"/>
        <w:outlineLvl w:val="0"/>
      </w:pPr>
      <w:r w:rsidRPr="0075777D">
        <w:t>Sukladno čl 13., 14., 15. i 16. Pravilnika o financijskom izvještavanju u proračunskom računovodstvu („Narodne novine“, broj 03/15, 93/15, 135/15, 2/17, 28/17</w:t>
      </w:r>
      <w:r w:rsidR="00910CCA">
        <w:t>,</w:t>
      </w:r>
      <w:r w:rsidRPr="0075777D">
        <w:t xml:space="preserve"> 112/18</w:t>
      </w:r>
      <w:r w:rsidR="000277F9">
        <w:t>,</w:t>
      </w:r>
      <w:r w:rsidR="00910CCA">
        <w:t xml:space="preserve"> 126/19</w:t>
      </w:r>
      <w:r w:rsidR="000277F9">
        <w:t xml:space="preserve"> i 108/20</w:t>
      </w:r>
      <w:r w:rsidRPr="0075777D">
        <w:t>)</w:t>
      </w:r>
      <w:r>
        <w:t xml:space="preserve"> podnose se</w:t>
      </w:r>
    </w:p>
    <w:p w:rsidR="00E138A3" w:rsidRPr="00E138A3" w:rsidRDefault="00E138A3" w:rsidP="00E138A3">
      <w:pPr>
        <w:pBdr>
          <w:bottom w:val="thinThickSmallGap" w:sz="12" w:space="1" w:color="002060"/>
        </w:pBdr>
        <w:spacing w:before="400"/>
        <w:jc w:val="center"/>
        <w:outlineLvl w:val="0"/>
        <w:rPr>
          <w:caps/>
          <w:color w:val="6C261B" w:themeColor="accent2" w:themeShade="80"/>
          <w:spacing w:val="20"/>
          <w:sz w:val="44"/>
          <w:szCs w:val="28"/>
        </w:rPr>
      </w:pPr>
      <w:r w:rsidRPr="00E138A3">
        <w:rPr>
          <w:caps/>
          <w:color w:val="6C261B" w:themeColor="accent2" w:themeShade="80"/>
          <w:spacing w:val="20"/>
          <w:sz w:val="44"/>
          <w:szCs w:val="28"/>
        </w:rPr>
        <w:t>BILJEŠKE UZ FINANCIJSKI IZVJEŠTAJ</w:t>
      </w:r>
    </w:p>
    <w:p w:rsidR="00E138A3" w:rsidRPr="00E138A3" w:rsidRDefault="00E138A3" w:rsidP="00E138A3">
      <w:pPr>
        <w:pBdr>
          <w:top w:val="dotted" w:sz="4" w:space="1" w:color="6B261B" w:themeColor="accent2" w:themeShade="7F"/>
          <w:bottom w:val="dotted" w:sz="4" w:space="1" w:color="6B261B" w:themeColor="accent2" w:themeShade="7F"/>
        </w:pBdr>
        <w:spacing w:before="300"/>
        <w:jc w:val="left"/>
        <w:outlineLvl w:val="2"/>
        <w:rPr>
          <w:caps/>
          <w:color w:val="42402C" w:themeColor="accent4" w:themeShade="80"/>
          <w:sz w:val="24"/>
          <w:szCs w:val="24"/>
        </w:rPr>
      </w:pPr>
      <w:r w:rsidRPr="00E138A3">
        <w:rPr>
          <w:caps/>
          <w:color w:val="42402C" w:themeColor="accent4" w:themeShade="80"/>
          <w:sz w:val="24"/>
          <w:szCs w:val="24"/>
        </w:rPr>
        <w:t>Opći podatci:</w:t>
      </w:r>
    </w:p>
    <w:p w:rsidR="00E138A3" w:rsidRPr="00E138A3" w:rsidRDefault="00E138A3" w:rsidP="00D95E3E">
      <w:pPr>
        <w:tabs>
          <w:tab w:val="right" w:pos="4253"/>
          <w:tab w:val="left" w:pos="4820"/>
          <w:tab w:val="right" w:pos="9072"/>
        </w:tabs>
        <w:spacing w:after="0" w:line="240" w:lineRule="auto"/>
        <w:rPr>
          <w:rFonts w:cs="Times New Roman"/>
        </w:rPr>
      </w:pPr>
      <w:r w:rsidRPr="00E138A3">
        <w:rPr>
          <w:rFonts w:cs="Times New Roman"/>
        </w:rPr>
        <w:t>Naziv obveznika:</w:t>
      </w:r>
      <w:r w:rsidRPr="00E138A3">
        <w:rPr>
          <w:rFonts w:cs="Times New Roman"/>
        </w:rPr>
        <w:tab/>
      </w:r>
      <w:r w:rsidRPr="00E138A3">
        <w:rPr>
          <w:rFonts w:cs="Times New Roman"/>
          <w:b/>
        </w:rPr>
        <w:t>OPĆA BOLNICA ZADAR</w:t>
      </w:r>
      <w:r w:rsidRPr="00E138A3">
        <w:rPr>
          <w:rFonts w:cs="Times New Roman"/>
        </w:rPr>
        <w:tab/>
        <w:t>Šifra grada/opć.:</w:t>
      </w:r>
      <w:r w:rsidRPr="00E138A3">
        <w:rPr>
          <w:rFonts w:cs="Times New Roman"/>
        </w:rPr>
        <w:tab/>
      </w:r>
      <w:r w:rsidRPr="00E138A3">
        <w:rPr>
          <w:rFonts w:cs="Times New Roman"/>
          <w:b/>
        </w:rPr>
        <w:t>520 – Zadarska/Zadar</w:t>
      </w:r>
      <w:r w:rsidRPr="00E138A3">
        <w:rPr>
          <w:rFonts w:cs="Times New Roman"/>
        </w:rPr>
        <w:tab/>
      </w:r>
      <w:r w:rsidRPr="00E138A3">
        <w:rPr>
          <w:rFonts w:cs="Times New Roman"/>
        </w:rPr>
        <w:tab/>
      </w:r>
    </w:p>
    <w:p w:rsidR="00E138A3" w:rsidRPr="00E138A3" w:rsidRDefault="00E138A3" w:rsidP="00D95E3E">
      <w:pPr>
        <w:tabs>
          <w:tab w:val="right" w:pos="4253"/>
          <w:tab w:val="left" w:pos="4820"/>
          <w:tab w:val="right" w:pos="9072"/>
        </w:tabs>
        <w:spacing w:after="0" w:line="240" w:lineRule="auto"/>
        <w:rPr>
          <w:rFonts w:cs="Times New Roman"/>
        </w:rPr>
      </w:pPr>
      <w:r w:rsidRPr="00E138A3">
        <w:rPr>
          <w:rFonts w:cs="Times New Roman"/>
        </w:rPr>
        <w:t>Pošta i mjesto:</w:t>
      </w:r>
      <w:r w:rsidRPr="00E138A3">
        <w:rPr>
          <w:rFonts w:cs="Times New Roman"/>
        </w:rPr>
        <w:tab/>
      </w:r>
      <w:r w:rsidRPr="00E138A3">
        <w:rPr>
          <w:rFonts w:cs="Times New Roman"/>
          <w:b/>
        </w:rPr>
        <w:t>23000 ZADAR</w:t>
      </w:r>
      <w:r w:rsidRPr="00E138A3">
        <w:rPr>
          <w:rFonts w:cs="Times New Roman"/>
        </w:rPr>
        <w:tab/>
        <w:t>Broj RKP-a:</w:t>
      </w:r>
      <w:r w:rsidRPr="00E138A3">
        <w:rPr>
          <w:rFonts w:cs="Times New Roman"/>
        </w:rPr>
        <w:tab/>
      </w:r>
      <w:r w:rsidRPr="00E138A3">
        <w:rPr>
          <w:rFonts w:cs="Times New Roman"/>
          <w:b/>
        </w:rPr>
        <w:t>34024</w:t>
      </w:r>
      <w:r w:rsidRPr="00E138A3">
        <w:rPr>
          <w:rFonts w:cs="Times New Roman"/>
        </w:rPr>
        <w:tab/>
      </w:r>
    </w:p>
    <w:p w:rsidR="00E138A3" w:rsidRPr="00E138A3" w:rsidRDefault="00E138A3" w:rsidP="00D95E3E">
      <w:pPr>
        <w:tabs>
          <w:tab w:val="right" w:pos="4253"/>
          <w:tab w:val="left" w:pos="4820"/>
          <w:tab w:val="right" w:pos="9072"/>
        </w:tabs>
        <w:spacing w:after="0" w:line="240" w:lineRule="auto"/>
        <w:rPr>
          <w:rFonts w:cs="Times New Roman"/>
        </w:rPr>
      </w:pPr>
      <w:r w:rsidRPr="00E138A3">
        <w:rPr>
          <w:rFonts w:cs="Times New Roman"/>
        </w:rPr>
        <w:t>Ulica i kućni broj:</w:t>
      </w:r>
      <w:r w:rsidRPr="00E138A3">
        <w:rPr>
          <w:rFonts w:cs="Times New Roman"/>
        </w:rPr>
        <w:tab/>
      </w:r>
      <w:r w:rsidRPr="00E138A3">
        <w:rPr>
          <w:rFonts w:cs="Times New Roman"/>
          <w:b/>
        </w:rPr>
        <w:t>BOŽE PERIČIĆA 5.</w:t>
      </w:r>
      <w:r w:rsidRPr="00E138A3">
        <w:rPr>
          <w:rFonts w:cs="Times New Roman"/>
        </w:rPr>
        <w:tab/>
        <w:t xml:space="preserve">Šifra djelatnosti: </w:t>
      </w:r>
      <w:r w:rsidRPr="00E138A3">
        <w:rPr>
          <w:rFonts w:cs="Times New Roman"/>
        </w:rPr>
        <w:tab/>
      </w:r>
      <w:r w:rsidRPr="00E138A3">
        <w:rPr>
          <w:rFonts w:cs="Times New Roman"/>
          <w:b/>
        </w:rPr>
        <w:t>8610</w:t>
      </w:r>
      <w:r w:rsidRPr="00E138A3">
        <w:rPr>
          <w:rFonts w:cs="Times New Roman"/>
        </w:rPr>
        <w:t xml:space="preserve"> -</w:t>
      </w:r>
      <w:r w:rsidRPr="00E138A3">
        <w:rPr>
          <w:rFonts w:cs="Times New Roman"/>
          <w:b/>
        </w:rPr>
        <w:t>Djelatnosti bolnica</w:t>
      </w:r>
      <w:r w:rsidRPr="00E138A3">
        <w:rPr>
          <w:rFonts w:cs="Times New Roman"/>
        </w:rPr>
        <w:tab/>
      </w:r>
      <w:r w:rsidRPr="00E138A3">
        <w:rPr>
          <w:rFonts w:cs="Times New Roman"/>
        </w:rPr>
        <w:tab/>
      </w:r>
    </w:p>
    <w:p w:rsidR="00E138A3" w:rsidRPr="00E138A3" w:rsidRDefault="00E138A3" w:rsidP="00D95E3E">
      <w:pPr>
        <w:tabs>
          <w:tab w:val="right" w:pos="4253"/>
          <w:tab w:val="left" w:pos="4820"/>
          <w:tab w:val="right" w:pos="9072"/>
        </w:tabs>
        <w:spacing w:after="0" w:line="240" w:lineRule="auto"/>
        <w:rPr>
          <w:rFonts w:cs="Times New Roman"/>
        </w:rPr>
      </w:pPr>
      <w:r w:rsidRPr="00E138A3">
        <w:rPr>
          <w:rFonts w:cs="Times New Roman"/>
        </w:rPr>
        <w:t>OIB:</w:t>
      </w:r>
      <w:r w:rsidRPr="00E138A3">
        <w:rPr>
          <w:rFonts w:cs="Times New Roman"/>
        </w:rPr>
        <w:tab/>
      </w:r>
      <w:r w:rsidRPr="00E138A3">
        <w:rPr>
          <w:rFonts w:cs="Times New Roman"/>
          <w:b/>
        </w:rPr>
        <w:t>11854878552</w:t>
      </w:r>
      <w:r w:rsidRPr="00E138A3">
        <w:rPr>
          <w:rFonts w:cs="Times New Roman"/>
        </w:rPr>
        <w:tab/>
        <w:t>Razdjel:</w:t>
      </w:r>
      <w:r w:rsidRPr="00E138A3">
        <w:rPr>
          <w:rFonts w:cs="Times New Roman"/>
        </w:rPr>
        <w:tab/>
      </w:r>
      <w:r w:rsidRPr="00E138A3">
        <w:rPr>
          <w:rFonts w:cs="Times New Roman"/>
          <w:b/>
        </w:rPr>
        <w:t>0000- Nema razdjela</w:t>
      </w:r>
      <w:r w:rsidRPr="00E138A3">
        <w:rPr>
          <w:rFonts w:cs="Times New Roman"/>
        </w:rPr>
        <w:tab/>
      </w:r>
      <w:r w:rsidRPr="00E138A3">
        <w:rPr>
          <w:rFonts w:cs="Times New Roman"/>
        </w:rPr>
        <w:tab/>
      </w:r>
    </w:p>
    <w:p w:rsidR="00E138A3" w:rsidRPr="00E138A3" w:rsidRDefault="00E138A3" w:rsidP="00D95E3E">
      <w:pPr>
        <w:tabs>
          <w:tab w:val="right" w:pos="4253"/>
          <w:tab w:val="left" w:pos="4820"/>
          <w:tab w:val="right" w:pos="9072"/>
        </w:tabs>
        <w:spacing w:after="0" w:line="240" w:lineRule="auto"/>
        <w:rPr>
          <w:rFonts w:cs="Times New Roman"/>
          <w:b/>
        </w:rPr>
      </w:pPr>
      <w:r w:rsidRPr="00E138A3">
        <w:rPr>
          <w:rFonts w:cs="Times New Roman"/>
        </w:rPr>
        <w:tab/>
        <w:t xml:space="preserve">Razina: </w:t>
      </w:r>
      <w:r w:rsidRPr="00E138A3">
        <w:rPr>
          <w:rFonts w:cs="Times New Roman"/>
          <w:b/>
        </w:rPr>
        <w:t>31 - proračunski korisnik jedinice lokalne i područne (regionalne) samouprave koji obavlja poslove u sklopu funkcija koje se decentraliziraju</w:t>
      </w:r>
      <w:r w:rsidRPr="00E138A3">
        <w:rPr>
          <w:rFonts w:cs="Times New Roman"/>
        </w:rPr>
        <w:tab/>
      </w:r>
      <w:r w:rsidRPr="00E138A3">
        <w:rPr>
          <w:rFonts w:cs="Times New Roman"/>
        </w:rPr>
        <w:tab/>
      </w:r>
      <w:r w:rsidRPr="00E138A3">
        <w:rPr>
          <w:rFonts w:cs="Times New Roman"/>
        </w:rPr>
        <w:tab/>
      </w:r>
      <w:r w:rsidRPr="00E138A3">
        <w:rPr>
          <w:rFonts w:cs="Times New Roman"/>
        </w:rPr>
        <w:tab/>
      </w:r>
      <w:r w:rsidRPr="00E138A3">
        <w:rPr>
          <w:rFonts w:cs="Times New Roman"/>
        </w:rPr>
        <w:tab/>
      </w:r>
    </w:p>
    <w:p w:rsidR="00E138A3" w:rsidRDefault="00E138A3" w:rsidP="00D95E3E">
      <w:pPr>
        <w:tabs>
          <w:tab w:val="right" w:pos="4253"/>
          <w:tab w:val="left" w:pos="4536"/>
          <w:tab w:val="left" w:pos="4820"/>
          <w:tab w:val="right" w:pos="9072"/>
        </w:tabs>
        <w:rPr>
          <w:b/>
        </w:rPr>
      </w:pPr>
      <w:r w:rsidRPr="00E138A3">
        <w:t>Razdoblje od:</w:t>
      </w:r>
      <w:r w:rsidRPr="00E138A3">
        <w:rPr>
          <w:b/>
        </w:rPr>
        <w:t xml:space="preserve"> </w:t>
      </w:r>
      <w:r w:rsidRPr="00E138A3">
        <w:rPr>
          <w:b/>
        </w:rPr>
        <w:tab/>
        <w:t>01.01</w:t>
      </w:r>
      <w:r w:rsidR="000277F9">
        <w:rPr>
          <w:b/>
        </w:rPr>
        <w:t>.2020. do 31.12.2020</w:t>
      </w:r>
      <w:r w:rsidRPr="00E138A3">
        <w:rPr>
          <w:b/>
        </w:rPr>
        <w:t>.</w:t>
      </w:r>
      <w:r w:rsidRPr="00E138A3">
        <w:rPr>
          <w:b/>
        </w:rPr>
        <w:tab/>
      </w:r>
      <w:r w:rsidRPr="00E138A3">
        <w:rPr>
          <w:b/>
        </w:rPr>
        <w:tab/>
      </w:r>
      <w:r w:rsidRPr="00E138A3">
        <w:t>AOP oznaka razdoblja:</w:t>
      </w:r>
      <w:r w:rsidRPr="00E138A3">
        <w:rPr>
          <w:b/>
        </w:rPr>
        <w:tab/>
      </w:r>
      <w:r w:rsidR="000277F9">
        <w:rPr>
          <w:b/>
        </w:rPr>
        <w:t>2020</w:t>
      </w:r>
      <w:r w:rsidRPr="00E138A3">
        <w:rPr>
          <w:b/>
        </w:rPr>
        <w:t>-12</w:t>
      </w:r>
    </w:p>
    <w:p w:rsidR="00FC54B8" w:rsidRPr="00FC54B8" w:rsidRDefault="00FC54B8" w:rsidP="00FC54B8">
      <w:pPr>
        <w:pBdr>
          <w:top w:val="dotted" w:sz="4" w:space="1" w:color="6B261B" w:themeColor="accent2" w:themeShade="7F"/>
          <w:bottom w:val="dotted" w:sz="4" w:space="1" w:color="6B261B" w:themeColor="accent2" w:themeShade="7F"/>
        </w:pBdr>
        <w:spacing w:before="300" w:after="0"/>
        <w:jc w:val="left"/>
        <w:outlineLvl w:val="2"/>
        <w:rPr>
          <w:b/>
          <w:caps/>
          <w:color w:val="42402C" w:themeColor="accent4" w:themeShade="80"/>
          <w:sz w:val="24"/>
          <w:szCs w:val="24"/>
        </w:rPr>
      </w:pPr>
      <w:r w:rsidRPr="00FC54B8">
        <w:rPr>
          <w:b/>
          <w:caps/>
          <w:color w:val="42402C" w:themeColor="accent4" w:themeShade="80"/>
          <w:sz w:val="24"/>
          <w:szCs w:val="24"/>
        </w:rPr>
        <w:t>REKAPITULACIJA IZVJEŠĆA</w:t>
      </w:r>
    </w:p>
    <w:p w:rsidR="00FC54B8" w:rsidRDefault="00FC54B8" w:rsidP="00FC54B8">
      <w:pPr>
        <w:spacing w:before="240" w:after="0" w:line="240" w:lineRule="auto"/>
        <w:contextualSpacing/>
        <w:rPr>
          <w:b/>
          <w:color w:val="42402C" w:themeColor="accent4" w:themeShade="80"/>
          <w:u w:val="single"/>
        </w:rPr>
      </w:pPr>
    </w:p>
    <w:p w:rsidR="00FC54B8" w:rsidRDefault="00653125" w:rsidP="00FC54B8">
      <w:pPr>
        <w:tabs>
          <w:tab w:val="right" w:pos="4253"/>
          <w:tab w:val="left" w:pos="4536"/>
          <w:tab w:val="left" w:pos="4820"/>
          <w:tab w:val="right" w:pos="9072"/>
        </w:tabs>
        <w:jc w:val="center"/>
        <w:rPr>
          <w:b/>
        </w:rPr>
      </w:pPr>
      <w:r w:rsidRPr="00653125">
        <w:rPr>
          <w:noProof/>
          <w:lang w:eastAsia="hr-HR"/>
        </w:rPr>
        <w:drawing>
          <wp:inline distT="0" distB="0" distL="0" distR="0">
            <wp:extent cx="6645910" cy="3013272"/>
            <wp:effectExtent l="0" t="0" r="254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B8" w:rsidRDefault="00FC54B8" w:rsidP="00FC54B8">
      <w:pPr>
        <w:tabs>
          <w:tab w:val="right" w:pos="4253"/>
          <w:tab w:val="left" w:pos="4536"/>
          <w:tab w:val="left" w:pos="4820"/>
          <w:tab w:val="right" w:pos="9072"/>
        </w:tabs>
        <w:jc w:val="center"/>
        <w:rPr>
          <w:b/>
        </w:rPr>
      </w:pPr>
    </w:p>
    <w:p w:rsidR="00FC54B8" w:rsidRDefault="00FC54B8" w:rsidP="00FC54B8">
      <w:pPr>
        <w:tabs>
          <w:tab w:val="right" w:pos="4253"/>
          <w:tab w:val="left" w:pos="4536"/>
          <w:tab w:val="left" w:pos="4820"/>
          <w:tab w:val="right" w:pos="9072"/>
        </w:tabs>
        <w:jc w:val="center"/>
        <w:rPr>
          <w:b/>
        </w:rPr>
      </w:pPr>
    </w:p>
    <w:p w:rsidR="00FC54B8" w:rsidRDefault="00FC54B8" w:rsidP="00FC54B8">
      <w:pPr>
        <w:tabs>
          <w:tab w:val="right" w:pos="4253"/>
          <w:tab w:val="left" w:pos="4536"/>
          <w:tab w:val="left" w:pos="4820"/>
          <w:tab w:val="right" w:pos="9072"/>
        </w:tabs>
        <w:jc w:val="center"/>
        <w:rPr>
          <w:b/>
        </w:rPr>
      </w:pPr>
    </w:p>
    <w:p w:rsidR="0075777D" w:rsidRDefault="0075777D">
      <w:pPr>
        <w:jc w:val="left"/>
        <w:rPr>
          <w:bCs/>
          <w:iCs/>
          <w:sz w:val="20"/>
        </w:rPr>
      </w:pPr>
      <w:r>
        <w:rPr>
          <w:bCs/>
          <w:iCs/>
          <w:sz w:val="20"/>
        </w:rPr>
        <w:br w:type="page"/>
      </w:r>
    </w:p>
    <w:p w:rsidR="00FC54B8" w:rsidRPr="0075777D" w:rsidRDefault="0075777D" w:rsidP="0075777D">
      <w:pPr>
        <w:tabs>
          <w:tab w:val="right" w:pos="4253"/>
          <w:tab w:val="left" w:pos="4536"/>
          <w:tab w:val="left" w:pos="4820"/>
          <w:tab w:val="right" w:pos="9072"/>
        </w:tabs>
        <w:jc w:val="left"/>
        <w:rPr>
          <w:bCs/>
          <w:iCs/>
          <w:sz w:val="20"/>
        </w:rPr>
      </w:pPr>
      <w:r w:rsidRPr="0075777D">
        <w:rPr>
          <w:bCs/>
          <w:iCs/>
          <w:sz w:val="20"/>
        </w:rPr>
        <w:lastRenderedPageBreak/>
        <w:t>Sukladno čl. 14. Pravilnika o financijskom izvještavanju u proračunskom računovodstvu („Narodne novine“, broj 03/15, 93/15, 135/15, 2/17, 28/17</w:t>
      </w:r>
      <w:r w:rsidR="006F42CB">
        <w:rPr>
          <w:bCs/>
          <w:iCs/>
          <w:sz w:val="20"/>
        </w:rPr>
        <w:t>,</w:t>
      </w:r>
      <w:r w:rsidRPr="0075777D">
        <w:rPr>
          <w:bCs/>
          <w:iCs/>
          <w:sz w:val="20"/>
        </w:rPr>
        <w:t xml:space="preserve"> 112/18</w:t>
      </w:r>
      <w:r w:rsidR="006F42CB">
        <w:rPr>
          <w:bCs/>
          <w:iCs/>
          <w:sz w:val="20"/>
        </w:rPr>
        <w:t xml:space="preserve"> i 129/19</w:t>
      </w:r>
      <w:r w:rsidRPr="0075777D">
        <w:rPr>
          <w:bCs/>
          <w:iCs/>
          <w:sz w:val="20"/>
        </w:rPr>
        <w:t>)</w:t>
      </w:r>
      <w:r>
        <w:rPr>
          <w:bCs/>
          <w:iCs/>
          <w:sz w:val="20"/>
        </w:rPr>
        <w:t xml:space="preserve"> podnose se</w:t>
      </w:r>
    </w:p>
    <w:p w:rsidR="00E138A3" w:rsidRPr="00E138A3" w:rsidRDefault="00E138A3" w:rsidP="00D95E3E">
      <w:pPr>
        <w:pBdr>
          <w:top w:val="dotted" w:sz="4" w:space="1" w:color="6B261B" w:themeColor="accent2" w:themeShade="7F"/>
          <w:bottom w:val="dotted" w:sz="4" w:space="1" w:color="6B261B" w:themeColor="accent2" w:themeShade="7F"/>
        </w:pBdr>
        <w:spacing w:before="300" w:after="0"/>
        <w:jc w:val="left"/>
        <w:outlineLvl w:val="2"/>
        <w:rPr>
          <w:b/>
          <w:caps/>
          <w:color w:val="42402C" w:themeColor="accent4" w:themeShade="80"/>
          <w:sz w:val="24"/>
          <w:szCs w:val="24"/>
        </w:rPr>
      </w:pPr>
      <w:r w:rsidRPr="00E138A3">
        <w:rPr>
          <w:b/>
          <w:caps/>
          <w:color w:val="42402C" w:themeColor="accent4" w:themeShade="80"/>
          <w:sz w:val="40"/>
          <w:szCs w:val="24"/>
        </w:rPr>
        <w:t xml:space="preserve">I </w:t>
      </w:r>
      <w:r w:rsidRPr="00E138A3">
        <w:rPr>
          <w:b/>
          <w:caps/>
          <w:color w:val="42402C" w:themeColor="accent4" w:themeShade="80"/>
          <w:sz w:val="24"/>
          <w:szCs w:val="24"/>
        </w:rPr>
        <w:t>BILJEŠKE UZ bilancU  (Obrazac Bil)</w:t>
      </w:r>
    </w:p>
    <w:p w:rsidR="00D95E3E" w:rsidRDefault="00D95E3E" w:rsidP="00D95E3E">
      <w:pPr>
        <w:spacing w:before="240" w:after="0" w:line="240" w:lineRule="auto"/>
        <w:contextualSpacing/>
        <w:rPr>
          <w:b/>
          <w:color w:val="42402C" w:themeColor="accent4" w:themeShade="80"/>
          <w:u w:val="single"/>
        </w:rPr>
      </w:pPr>
    </w:p>
    <w:p w:rsidR="00523559" w:rsidRPr="00653125" w:rsidRDefault="00523559" w:rsidP="00523559">
      <w:pPr>
        <w:pBdr>
          <w:top w:val="dotted" w:sz="4" w:space="1" w:color="6B261B" w:themeColor="accent2" w:themeShade="7F"/>
          <w:bottom w:val="dotted" w:sz="4" w:space="1" w:color="6B261B" w:themeColor="accent2" w:themeShade="7F"/>
        </w:pBdr>
        <w:spacing w:before="300"/>
        <w:jc w:val="center"/>
        <w:outlineLvl w:val="2"/>
        <w:rPr>
          <w:bCs/>
          <w:iCs/>
        </w:rPr>
      </w:pPr>
      <w:r w:rsidRPr="00653125">
        <w:rPr>
          <w:b/>
          <w:caps/>
          <w:color w:val="42402C" w:themeColor="accent4" w:themeShade="80"/>
          <w:sz w:val="24"/>
          <w:szCs w:val="24"/>
        </w:rPr>
        <w:t>AoP 001 - IMOVINA</w:t>
      </w:r>
    </w:p>
    <w:p w:rsidR="00617C9A" w:rsidRPr="00653125" w:rsidRDefault="00653125" w:rsidP="002B3530">
      <w:pPr>
        <w:spacing w:before="240" w:after="120" w:line="240" w:lineRule="auto"/>
        <w:contextualSpacing/>
        <w:jc w:val="center"/>
        <w:rPr>
          <w:b/>
          <w:color w:val="42402C" w:themeColor="accent4" w:themeShade="80"/>
          <w:u w:val="single"/>
        </w:rPr>
      </w:pPr>
      <w:r w:rsidRPr="00653125">
        <w:rPr>
          <w:noProof/>
          <w:lang w:eastAsia="hr-HR"/>
        </w:rPr>
        <w:drawing>
          <wp:inline distT="0" distB="0" distL="0" distR="0">
            <wp:extent cx="6645031" cy="1259205"/>
            <wp:effectExtent l="0" t="0" r="381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914" cy="12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9A" w:rsidRPr="00653125" w:rsidRDefault="00617C9A" w:rsidP="00617C9A">
      <w:pPr>
        <w:tabs>
          <w:tab w:val="decimal" w:pos="8789"/>
        </w:tabs>
        <w:spacing w:after="0"/>
        <w:rPr>
          <w:i/>
          <w:sz w:val="18"/>
        </w:rPr>
      </w:pPr>
      <w:r w:rsidRPr="00653125">
        <w:rPr>
          <w:i/>
          <w:sz w:val="18"/>
        </w:rPr>
        <w:t>Isje</w:t>
      </w:r>
      <w:r w:rsidR="00C76CF9" w:rsidRPr="00653125">
        <w:rPr>
          <w:i/>
          <w:sz w:val="18"/>
        </w:rPr>
        <w:t>čak iz bilance na dan 31.12.2020</w:t>
      </w:r>
      <w:r w:rsidRPr="00653125">
        <w:rPr>
          <w:i/>
          <w:sz w:val="18"/>
        </w:rPr>
        <w:t>. god.</w:t>
      </w:r>
    </w:p>
    <w:p w:rsidR="00B80794" w:rsidRPr="00653125" w:rsidRDefault="00B80794" w:rsidP="00523559">
      <w:pPr>
        <w:spacing w:before="240" w:after="120" w:line="240" w:lineRule="auto"/>
        <w:contextualSpacing/>
        <w:rPr>
          <w:bCs/>
          <w:iCs/>
          <w:sz w:val="20"/>
        </w:rPr>
      </w:pPr>
      <w:r w:rsidRPr="00653125">
        <w:rPr>
          <w:bCs/>
          <w:iCs/>
          <w:sz w:val="20"/>
        </w:rPr>
        <w:t>Uvidom u stanje imovine na dan 31.12.20</w:t>
      </w:r>
      <w:r w:rsidR="00653125">
        <w:rPr>
          <w:bCs/>
          <w:iCs/>
          <w:sz w:val="20"/>
        </w:rPr>
        <w:t>20</w:t>
      </w:r>
      <w:r w:rsidRPr="00653125">
        <w:rPr>
          <w:bCs/>
          <w:iCs/>
          <w:sz w:val="20"/>
        </w:rPr>
        <w:t xml:space="preserve">. godine evidentno je </w:t>
      </w:r>
      <w:r w:rsidR="00653125">
        <w:rPr>
          <w:bCs/>
          <w:iCs/>
          <w:sz w:val="20"/>
        </w:rPr>
        <w:t xml:space="preserve">neznatno </w:t>
      </w:r>
      <w:r w:rsidR="001245AD" w:rsidRPr="00653125">
        <w:rPr>
          <w:bCs/>
          <w:iCs/>
          <w:sz w:val="20"/>
        </w:rPr>
        <w:t>povećanje</w:t>
      </w:r>
      <w:r w:rsidRPr="00653125">
        <w:rPr>
          <w:bCs/>
          <w:iCs/>
          <w:sz w:val="20"/>
        </w:rPr>
        <w:t xml:space="preserve"> u odnosu na stanje 01.01.20</w:t>
      </w:r>
      <w:r w:rsidR="00653125">
        <w:rPr>
          <w:bCs/>
          <w:iCs/>
          <w:sz w:val="20"/>
        </w:rPr>
        <w:t>20</w:t>
      </w:r>
      <w:r w:rsidRPr="00653125">
        <w:rPr>
          <w:bCs/>
          <w:iCs/>
          <w:sz w:val="20"/>
        </w:rPr>
        <w:t xml:space="preserve">. godine za </w:t>
      </w:r>
      <w:r w:rsidR="00653125">
        <w:rPr>
          <w:bCs/>
          <w:iCs/>
          <w:sz w:val="20"/>
        </w:rPr>
        <w:t>8,0</w:t>
      </w:r>
      <w:r w:rsidRPr="00653125">
        <w:rPr>
          <w:bCs/>
          <w:iCs/>
          <w:sz w:val="20"/>
        </w:rPr>
        <w:t xml:space="preserve">%. </w:t>
      </w:r>
      <w:r w:rsidR="001245AD" w:rsidRPr="00653125">
        <w:rPr>
          <w:bCs/>
          <w:iCs/>
          <w:sz w:val="20"/>
        </w:rPr>
        <w:t xml:space="preserve">Povećanje se odnosi u najvećoj mjeri </w:t>
      </w:r>
      <w:r w:rsidR="00653125">
        <w:rPr>
          <w:bCs/>
          <w:iCs/>
          <w:sz w:val="20"/>
        </w:rPr>
        <w:t>na značajnije izdatke za kapitalna ulaganja Opće bolnice Zadar u 2020. godini</w:t>
      </w:r>
      <w:r w:rsidR="001245AD" w:rsidRPr="00653125">
        <w:rPr>
          <w:bCs/>
          <w:iCs/>
          <w:sz w:val="20"/>
        </w:rPr>
        <w:t>.</w:t>
      </w:r>
      <w:r w:rsidR="0075777D" w:rsidRPr="00653125">
        <w:rPr>
          <w:bCs/>
          <w:iCs/>
          <w:sz w:val="20"/>
        </w:rPr>
        <w:t xml:space="preserve"> U nastavku navodimo razloge zbog kojih je došlo do većih odstupanja od ostvarenja u izvještajnom razdoblju prethodne godine.</w:t>
      </w:r>
    </w:p>
    <w:p w:rsidR="00617C9A" w:rsidRPr="002D4017" w:rsidRDefault="00617C9A" w:rsidP="00617C9A">
      <w:pPr>
        <w:spacing w:before="240" w:after="120" w:line="240" w:lineRule="auto"/>
        <w:ind w:left="360"/>
        <w:contextualSpacing/>
        <w:rPr>
          <w:b/>
          <w:color w:val="42402C" w:themeColor="accent4" w:themeShade="80"/>
          <w:highlight w:val="yellow"/>
          <w:u w:val="single"/>
        </w:rPr>
      </w:pPr>
    </w:p>
    <w:p w:rsidR="00E138A3" w:rsidRDefault="00E138A3" w:rsidP="00D95E3E">
      <w:pPr>
        <w:numPr>
          <w:ilvl w:val="0"/>
          <w:numId w:val="2"/>
        </w:numPr>
        <w:tabs>
          <w:tab w:val="decimal" w:pos="8789"/>
        </w:tabs>
        <w:spacing w:before="240" w:after="0" w:line="240" w:lineRule="auto"/>
        <w:contextualSpacing/>
        <w:rPr>
          <w:b/>
          <w:color w:val="42402C" w:themeColor="accent4" w:themeShade="80"/>
          <w:u w:val="single"/>
        </w:rPr>
      </w:pPr>
      <w:r w:rsidRPr="007572BF">
        <w:rPr>
          <w:b/>
          <w:color w:val="42402C" w:themeColor="accent4" w:themeShade="80"/>
          <w:u w:val="single"/>
        </w:rPr>
        <w:t>AOP- 014– POSTROJENJA I OPREMA</w:t>
      </w:r>
      <w:r w:rsidRPr="007572BF">
        <w:rPr>
          <w:b/>
          <w:color w:val="42402C" w:themeColor="accent4" w:themeShade="80"/>
          <w:u w:val="single"/>
        </w:rPr>
        <w:tab/>
        <w:t xml:space="preserve">indeks </w:t>
      </w:r>
      <w:r w:rsidR="007572BF" w:rsidRPr="007572BF">
        <w:rPr>
          <w:b/>
          <w:color w:val="42402C" w:themeColor="accent4" w:themeShade="80"/>
          <w:u w:val="single"/>
        </w:rPr>
        <w:t>150,4</w:t>
      </w:r>
    </w:p>
    <w:p w:rsidR="00932AAE" w:rsidRPr="007572BF" w:rsidRDefault="00932AAE" w:rsidP="00932AAE">
      <w:pPr>
        <w:tabs>
          <w:tab w:val="decimal" w:pos="8789"/>
        </w:tabs>
        <w:spacing w:before="240" w:after="0" w:line="240" w:lineRule="auto"/>
        <w:ind w:left="360"/>
        <w:contextualSpacing/>
        <w:rPr>
          <w:b/>
          <w:color w:val="42402C" w:themeColor="accent4" w:themeShade="80"/>
          <w:u w:val="single"/>
        </w:rPr>
      </w:pPr>
    </w:p>
    <w:p w:rsidR="00E138A3" w:rsidRPr="007572BF" w:rsidRDefault="007572BF" w:rsidP="00E138A3">
      <w:pPr>
        <w:tabs>
          <w:tab w:val="decimal" w:pos="8789"/>
        </w:tabs>
        <w:spacing w:after="0"/>
        <w:jc w:val="center"/>
      </w:pPr>
      <w:r w:rsidRPr="007572BF">
        <w:rPr>
          <w:noProof/>
          <w:lang w:eastAsia="hr-HR"/>
        </w:rPr>
        <w:drawing>
          <wp:inline distT="0" distB="0" distL="0" distR="0">
            <wp:extent cx="6645910" cy="2093741"/>
            <wp:effectExtent l="0" t="0" r="2540" b="190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9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A3" w:rsidRPr="007572BF" w:rsidRDefault="00E138A3" w:rsidP="00E138A3">
      <w:pPr>
        <w:tabs>
          <w:tab w:val="decimal" w:pos="8789"/>
        </w:tabs>
        <w:spacing w:after="120"/>
      </w:pPr>
      <w:r w:rsidRPr="007572BF">
        <w:rPr>
          <w:i/>
          <w:sz w:val="18"/>
        </w:rPr>
        <w:t>Isječak iz bilance na dan</w:t>
      </w:r>
      <w:r w:rsidR="004173F3" w:rsidRPr="007572BF">
        <w:rPr>
          <w:i/>
          <w:sz w:val="18"/>
        </w:rPr>
        <w:t xml:space="preserve"> 31.12.20</w:t>
      </w:r>
      <w:r w:rsidR="00C76CF9" w:rsidRPr="007572BF">
        <w:rPr>
          <w:i/>
          <w:sz w:val="18"/>
        </w:rPr>
        <w:t>20</w:t>
      </w:r>
      <w:r w:rsidRPr="007572BF">
        <w:rPr>
          <w:i/>
          <w:sz w:val="18"/>
        </w:rPr>
        <w:t>. god.</w:t>
      </w:r>
    </w:p>
    <w:p w:rsidR="004173F3" w:rsidRDefault="00E138A3" w:rsidP="007572BF">
      <w:pPr>
        <w:keepNext/>
        <w:tabs>
          <w:tab w:val="decimal" w:pos="6237"/>
          <w:tab w:val="decimal" w:pos="8789"/>
        </w:tabs>
        <w:spacing w:after="0"/>
        <w:rPr>
          <w:bCs/>
          <w:iCs/>
          <w:sz w:val="20"/>
        </w:rPr>
      </w:pPr>
      <w:r w:rsidRPr="007572BF">
        <w:rPr>
          <w:bCs/>
          <w:iCs/>
          <w:sz w:val="20"/>
        </w:rPr>
        <w:t>Vrijednost postrojenja i opreme u u</w:t>
      </w:r>
      <w:r w:rsidR="00A82F95" w:rsidRPr="007572BF">
        <w:rPr>
          <w:bCs/>
          <w:iCs/>
          <w:sz w:val="20"/>
        </w:rPr>
        <w:t xml:space="preserve">potrebi je </w:t>
      </w:r>
      <w:r w:rsidR="007572BF">
        <w:rPr>
          <w:bCs/>
          <w:iCs/>
          <w:sz w:val="20"/>
        </w:rPr>
        <w:t>povećana u 2020. godini</w:t>
      </w:r>
      <w:r w:rsidR="004173F3" w:rsidRPr="007572BF">
        <w:rPr>
          <w:bCs/>
          <w:iCs/>
          <w:sz w:val="20"/>
        </w:rPr>
        <w:t xml:space="preserve"> </w:t>
      </w:r>
      <w:r w:rsidR="00A82F95" w:rsidRPr="007572BF">
        <w:rPr>
          <w:bCs/>
          <w:iCs/>
          <w:sz w:val="20"/>
        </w:rPr>
        <w:t xml:space="preserve">za </w:t>
      </w:r>
      <w:r w:rsidR="007572BF">
        <w:rPr>
          <w:bCs/>
          <w:iCs/>
          <w:sz w:val="20"/>
        </w:rPr>
        <w:t>50,40% u najvećoj mjeri zbog zanavljanja zastarjele medicinske opreme novom opremom, opremanja prostorija zgrade Poliklinike (ponajprije Odjela za laboratorijsku dijagnostiku u prizemlju zgrade Poliklinike) te opremanja COVID odjela na kojima su zbrinjavani pacijenti zaraženi virusom SARS-CoV-2.</w:t>
      </w:r>
      <w:r w:rsidR="008658B7" w:rsidRPr="007572BF">
        <w:rPr>
          <w:bCs/>
          <w:iCs/>
          <w:sz w:val="20"/>
        </w:rPr>
        <w:t xml:space="preserve"> </w:t>
      </w:r>
      <w:r w:rsidR="004173F3" w:rsidRPr="007572BF">
        <w:rPr>
          <w:bCs/>
          <w:iCs/>
          <w:sz w:val="20"/>
        </w:rPr>
        <w:t xml:space="preserve">Ispravka vrijednosti postrojenja i opreme je porasla za </w:t>
      </w:r>
      <w:r w:rsidR="007572BF">
        <w:rPr>
          <w:bCs/>
          <w:iCs/>
          <w:sz w:val="20"/>
        </w:rPr>
        <w:t>1,70</w:t>
      </w:r>
      <w:r w:rsidR="004173F3" w:rsidRPr="007572BF">
        <w:rPr>
          <w:bCs/>
          <w:iCs/>
          <w:sz w:val="20"/>
        </w:rPr>
        <w:t>% u odnosu na stanje 01.01.20</w:t>
      </w:r>
      <w:r w:rsidR="007572BF">
        <w:rPr>
          <w:bCs/>
          <w:iCs/>
          <w:sz w:val="20"/>
        </w:rPr>
        <w:t>20</w:t>
      </w:r>
      <w:r w:rsidR="004173F3" w:rsidRPr="007572BF">
        <w:rPr>
          <w:bCs/>
          <w:iCs/>
          <w:sz w:val="20"/>
        </w:rPr>
        <w:t xml:space="preserve">. godine tj. </w:t>
      </w:r>
      <w:r w:rsidR="00D95653" w:rsidRPr="007572BF">
        <w:rPr>
          <w:bCs/>
          <w:iCs/>
          <w:sz w:val="20"/>
        </w:rPr>
        <w:t>z</w:t>
      </w:r>
      <w:r w:rsidR="004173F3" w:rsidRPr="007572BF">
        <w:rPr>
          <w:bCs/>
          <w:iCs/>
          <w:sz w:val="20"/>
        </w:rPr>
        <w:t>a</w:t>
      </w:r>
      <w:r w:rsidR="008658B7" w:rsidRPr="007572BF">
        <w:rPr>
          <w:bCs/>
          <w:iCs/>
          <w:sz w:val="20"/>
        </w:rPr>
        <w:t xml:space="preserve"> </w:t>
      </w:r>
      <w:r w:rsidR="007572BF">
        <w:rPr>
          <w:bCs/>
          <w:iCs/>
          <w:sz w:val="20"/>
        </w:rPr>
        <w:t>3.731.531,00 kunu</w:t>
      </w:r>
      <w:r w:rsidR="004173F3" w:rsidRPr="007572BF">
        <w:rPr>
          <w:bCs/>
          <w:iCs/>
          <w:sz w:val="20"/>
        </w:rPr>
        <w:t>.</w:t>
      </w:r>
    </w:p>
    <w:p w:rsidR="00932AAE" w:rsidRPr="007572BF" w:rsidRDefault="00932AAE" w:rsidP="007572BF">
      <w:pPr>
        <w:keepNext/>
        <w:tabs>
          <w:tab w:val="decimal" w:pos="6237"/>
          <w:tab w:val="decimal" w:pos="8789"/>
        </w:tabs>
        <w:spacing w:after="0"/>
        <w:rPr>
          <w:bCs/>
          <w:iCs/>
          <w:sz w:val="20"/>
        </w:rPr>
      </w:pPr>
    </w:p>
    <w:p w:rsidR="00E138A3" w:rsidRDefault="002642B5" w:rsidP="00932AAE">
      <w:pPr>
        <w:pStyle w:val="ListParagraph"/>
        <w:spacing w:before="0" w:after="0"/>
        <w:ind w:left="357" w:hanging="357"/>
      </w:pPr>
      <w:r w:rsidRPr="007572BF">
        <w:t>AOP- 024 - PRIJEVOZNA SREDSTVA (AOP 025 do 028 - 029)</w:t>
      </w:r>
      <w:r w:rsidRPr="007572BF">
        <w:tab/>
      </w:r>
      <w:r w:rsidR="00E138A3" w:rsidRPr="007572BF">
        <w:tab/>
        <w:t xml:space="preserve">indeks </w:t>
      </w:r>
      <w:r w:rsidR="00932AAE">
        <w:t>547,90</w:t>
      </w:r>
    </w:p>
    <w:p w:rsidR="00932AAE" w:rsidRPr="007572BF" w:rsidRDefault="00932AAE" w:rsidP="00932AAE">
      <w:pPr>
        <w:pStyle w:val="ListParagraph"/>
        <w:numPr>
          <w:ilvl w:val="0"/>
          <w:numId w:val="0"/>
        </w:numPr>
        <w:spacing w:before="0" w:after="0"/>
        <w:ind w:left="357"/>
      </w:pPr>
    </w:p>
    <w:p w:rsidR="00E138A3" w:rsidRPr="007572BF" w:rsidRDefault="007572BF" w:rsidP="00E138A3">
      <w:pPr>
        <w:tabs>
          <w:tab w:val="decimal" w:pos="8789"/>
        </w:tabs>
        <w:spacing w:after="0"/>
        <w:jc w:val="center"/>
      </w:pPr>
      <w:r w:rsidRPr="007572BF">
        <w:rPr>
          <w:noProof/>
          <w:lang w:eastAsia="hr-HR"/>
        </w:rPr>
        <w:drawing>
          <wp:inline distT="0" distB="0" distL="0" distR="0">
            <wp:extent cx="6645910" cy="1259372"/>
            <wp:effectExtent l="0" t="0" r="254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5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9" w:rsidRPr="007572BF" w:rsidRDefault="00C76CF9" w:rsidP="00C76CF9">
      <w:pPr>
        <w:tabs>
          <w:tab w:val="decimal" w:pos="8789"/>
        </w:tabs>
        <w:spacing w:after="120"/>
      </w:pPr>
      <w:r w:rsidRPr="007572BF">
        <w:rPr>
          <w:i/>
          <w:sz w:val="18"/>
        </w:rPr>
        <w:t>Isječak iz bilance na dan 31.12.2020. god.</w:t>
      </w:r>
    </w:p>
    <w:p w:rsidR="007572BF" w:rsidRDefault="008743F3" w:rsidP="00E138A3">
      <w:pPr>
        <w:tabs>
          <w:tab w:val="decimal" w:pos="8789"/>
        </w:tabs>
        <w:spacing w:after="120"/>
        <w:rPr>
          <w:bCs/>
          <w:iCs/>
          <w:sz w:val="20"/>
        </w:rPr>
      </w:pPr>
      <w:r w:rsidRPr="007572BF">
        <w:rPr>
          <w:bCs/>
          <w:iCs/>
          <w:sz w:val="20"/>
        </w:rPr>
        <w:t xml:space="preserve">Vrijednost </w:t>
      </w:r>
      <w:r w:rsidR="002642B5" w:rsidRPr="007572BF">
        <w:rPr>
          <w:bCs/>
          <w:iCs/>
          <w:sz w:val="20"/>
        </w:rPr>
        <w:t xml:space="preserve">prijevoznih sredstava u cestovnom prometu </w:t>
      </w:r>
      <w:r w:rsidR="007572BF">
        <w:rPr>
          <w:bCs/>
          <w:iCs/>
          <w:sz w:val="20"/>
        </w:rPr>
        <w:t>povećana je</w:t>
      </w:r>
      <w:r w:rsidRPr="007572BF">
        <w:rPr>
          <w:bCs/>
          <w:iCs/>
          <w:sz w:val="20"/>
        </w:rPr>
        <w:t xml:space="preserve"> za</w:t>
      </w:r>
      <w:r w:rsidR="007572BF">
        <w:rPr>
          <w:bCs/>
          <w:iCs/>
          <w:sz w:val="20"/>
        </w:rPr>
        <w:t xml:space="preserve"> 493.144</w:t>
      </w:r>
      <w:r w:rsidR="00844BA9" w:rsidRPr="007572BF">
        <w:rPr>
          <w:bCs/>
          <w:iCs/>
          <w:sz w:val="20"/>
        </w:rPr>
        <w:t>,00 kun</w:t>
      </w:r>
      <w:r w:rsidR="007572BF">
        <w:rPr>
          <w:bCs/>
          <w:iCs/>
          <w:sz w:val="20"/>
        </w:rPr>
        <w:t>e</w:t>
      </w:r>
      <w:r w:rsidRPr="007572BF">
        <w:rPr>
          <w:bCs/>
          <w:iCs/>
          <w:sz w:val="20"/>
        </w:rPr>
        <w:t xml:space="preserve"> </w:t>
      </w:r>
      <w:r w:rsidR="007232FD">
        <w:rPr>
          <w:bCs/>
          <w:iCs/>
          <w:sz w:val="20"/>
        </w:rPr>
        <w:t>radi</w:t>
      </w:r>
      <w:r w:rsidR="007572BF">
        <w:rPr>
          <w:bCs/>
          <w:iCs/>
          <w:sz w:val="20"/>
        </w:rPr>
        <w:t xml:space="preserve"> nabavki terenskog vozila za prikupljanje laboratorijskih uzoraka u iznosu 117.500,</w:t>
      </w:r>
      <w:r w:rsidR="00554EF9">
        <w:rPr>
          <w:bCs/>
          <w:iCs/>
          <w:sz w:val="20"/>
        </w:rPr>
        <w:t xml:space="preserve">00 </w:t>
      </w:r>
      <w:r w:rsidR="007572BF">
        <w:rPr>
          <w:bCs/>
          <w:iCs/>
          <w:sz w:val="20"/>
        </w:rPr>
        <w:t>kn, jer postojeća vozila u voznom parku Opće bolnice Zadar nisu bila adekvat</w:t>
      </w:r>
      <w:r w:rsidR="007232FD">
        <w:rPr>
          <w:bCs/>
          <w:iCs/>
          <w:sz w:val="20"/>
        </w:rPr>
        <w:t>no opremljena niti su odgovarla</w:t>
      </w:r>
      <w:r w:rsidR="007572BF">
        <w:rPr>
          <w:bCs/>
          <w:iCs/>
          <w:sz w:val="20"/>
        </w:rPr>
        <w:t xml:space="preserve"> standardima za prikupljanje istih</w:t>
      </w:r>
      <w:r w:rsidR="007232FD">
        <w:rPr>
          <w:bCs/>
          <w:iCs/>
          <w:sz w:val="20"/>
        </w:rPr>
        <w:t>,</w:t>
      </w:r>
      <w:r w:rsidR="007572BF">
        <w:rPr>
          <w:bCs/>
          <w:iCs/>
          <w:sz w:val="20"/>
        </w:rPr>
        <w:t xml:space="preserve"> te kombi vozila za prijevoz terenskih ekipa za </w:t>
      </w:r>
      <w:r w:rsidR="007572BF">
        <w:rPr>
          <w:bCs/>
          <w:iCs/>
          <w:sz w:val="20"/>
        </w:rPr>
        <w:lastRenderedPageBreak/>
        <w:t xml:space="preserve">preuzimanje krvi u </w:t>
      </w:r>
      <w:r w:rsidR="007232FD">
        <w:rPr>
          <w:bCs/>
          <w:iCs/>
          <w:sz w:val="20"/>
        </w:rPr>
        <w:t>iznosu od 430.000,00 kuna</w:t>
      </w:r>
      <w:r w:rsidR="007572BF">
        <w:rPr>
          <w:bCs/>
          <w:iCs/>
          <w:sz w:val="20"/>
        </w:rPr>
        <w:t xml:space="preserve"> financiran sredstvima iz Proračuna Zadarske županije. Nabavka novih vozila je bila početkom godine, stoga je i otpis vrijednosti prijevoznih sredstava povećan za 13,50%, odnosno za 54.356,00 </w:t>
      </w:r>
      <w:r w:rsidR="007232FD">
        <w:rPr>
          <w:bCs/>
          <w:iCs/>
          <w:sz w:val="20"/>
        </w:rPr>
        <w:t>kuna</w:t>
      </w:r>
      <w:r w:rsidR="007572BF">
        <w:rPr>
          <w:bCs/>
          <w:iCs/>
          <w:sz w:val="20"/>
        </w:rPr>
        <w:t>.</w:t>
      </w:r>
    </w:p>
    <w:p w:rsidR="00932AAE" w:rsidRDefault="00932AAE" w:rsidP="00932AAE">
      <w:pPr>
        <w:pStyle w:val="ListParagraph"/>
        <w:spacing w:before="0" w:after="0"/>
        <w:ind w:left="357" w:hanging="357"/>
      </w:pPr>
      <w:r w:rsidRPr="007572BF">
        <w:t xml:space="preserve">AOP- </w:t>
      </w:r>
      <w:r>
        <w:t>030</w:t>
      </w:r>
      <w:r w:rsidRPr="007572BF">
        <w:t xml:space="preserve"> </w:t>
      </w:r>
      <w:r>
        <w:t>–</w:t>
      </w:r>
      <w:r w:rsidRPr="007572BF">
        <w:t xml:space="preserve"> </w:t>
      </w:r>
      <w:r>
        <w:t>KNJIGE, UMJETNIČKA DJELA I OSTALE IZLOŽBENE VRIJEDNOSTI</w:t>
      </w:r>
      <w:r w:rsidRPr="007572BF">
        <w:t xml:space="preserve"> (AOP 0</w:t>
      </w:r>
      <w:r>
        <w:t>31</w:t>
      </w:r>
      <w:r w:rsidRPr="007572BF">
        <w:t xml:space="preserve"> do 0</w:t>
      </w:r>
      <w:r>
        <w:t>34</w:t>
      </w:r>
      <w:r w:rsidRPr="007572BF">
        <w:t xml:space="preserve"> - 0</w:t>
      </w:r>
      <w:r>
        <w:t>35</w:t>
      </w:r>
      <w:r w:rsidRPr="007572BF">
        <w:t>)</w:t>
      </w:r>
      <w:r w:rsidRPr="007572BF">
        <w:tab/>
      </w:r>
      <w:r w:rsidRPr="007572BF">
        <w:tab/>
        <w:t xml:space="preserve">indeks </w:t>
      </w:r>
      <w:r>
        <w:t>210,0</w:t>
      </w:r>
    </w:p>
    <w:p w:rsidR="00932AAE" w:rsidRDefault="00932AAE" w:rsidP="00932AAE">
      <w:pPr>
        <w:pStyle w:val="ListParagraph"/>
        <w:numPr>
          <w:ilvl w:val="0"/>
          <w:numId w:val="0"/>
        </w:numPr>
        <w:spacing w:before="0" w:after="0"/>
        <w:ind w:left="357"/>
      </w:pPr>
    </w:p>
    <w:p w:rsidR="00932AAE" w:rsidRDefault="00932AAE" w:rsidP="00932AAE">
      <w:pPr>
        <w:tabs>
          <w:tab w:val="decimal" w:pos="8789"/>
        </w:tabs>
        <w:spacing w:after="0" w:line="240" w:lineRule="auto"/>
        <w:rPr>
          <w:bCs/>
          <w:iCs/>
          <w:sz w:val="20"/>
        </w:rPr>
      </w:pPr>
      <w:r w:rsidRPr="00932AAE">
        <w:rPr>
          <w:noProof/>
          <w:lang w:eastAsia="hr-HR"/>
        </w:rPr>
        <w:drawing>
          <wp:inline distT="0" distB="0" distL="0" distR="0">
            <wp:extent cx="6645910" cy="1388381"/>
            <wp:effectExtent l="0" t="0" r="2540" b="254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8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AAE" w:rsidRPr="007572BF" w:rsidRDefault="00932AAE" w:rsidP="00E138A3">
      <w:pPr>
        <w:tabs>
          <w:tab w:val="decimal" w:pos="8789"/>
        </w:tabs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Vrijednost knjiga, umjetničkih djela i ostalih izložbenih vrijednosti porasla je u odnosu na dan 01.01.2020. godine za 7.389,00 </w:t>
      </w:r>
      <w:r w:rsidR="007232FD">
        <w:rPr>
          <w:bCs/>
          <w:iCs/>
          <w:sz w:val="20"/>
        </w:rPr>
        <w:t xml:space="preserve">kuna radi </w:t>
      </w:r>
      <w:r>
        <w:rPr>
          <w:bCs/>
          <w:iCs/>
          <w:sz w:val="20"/>
        </w:rPr>
        <w:t xml:space="preserve">zanavljanja knjižničnog fonda aktualnim </w:t>
      </w:r>
      <w:r w:rsidR="00554EF9">
        <w:rPr>
          <w:bCs/>
          <w:iCs/>
          <w:sz w:val="20"/>
        </w:rPr>
        <w:t>izdanjima</w:t>
      </w:r>
      <w:r>
        <w:rPr>
          <w:bCs/>
          <w:iCs/>
          <w:sz w:val="20"/>
        </w:rPr>
        <w:t xml:space="preserve"> temeljem neprekidnog praćenja objavljenih popisa obvezne i preporučene literature, kako za potrebe Opće bolnice Zadar i njezinih zdravstvenih djelatnika koji se bave znanstvenim istraživanjima, tako i za potrebe Sveučilišta u Zadru i Odjela za zdravstvene studije.</w:t>
      </w:r>
    </w:p>
    <w:p w:rsidR="00844BA9" w:rsidRPr="0093338E" w:rsidRDefault="00844BA9" w:rsidP="00E3629E">
      <w:pPr>
        <w:pStyle w:val="ListParagraph"/>
      </w:pPr>
      <w:r w:rsidRPr="0093338E">
        <w:t>AOP- 051</w:t>
      </w:r>
      <w:r w:rsidR="00E3629E" w:rsidRPr="0093338E">
        <w:t xml:space="preserve"> </w:t>
      </w:r>
      <w:r w:rsidRPr="0093338E">
        <w:t xml:space="preserve">– </w:t>
      </w:r>
      <w:r w:rsidR="00E3629E" w:rsidRPr="0093338E">
        <w:t xml:space="preserve"> SITNI INVENTAR (AOP 048+049-050)</w:t>
      </w:r>
      <w:r w:rsidRPr="0093338E">
        <w:tab/>
      </w:r>
      <w:r w:rsidR="00E3629E" w:rsidRPr="0093338E">
        <w:tab/>
      </w:r>
      <w:r w:rsidR="0093338E">
        <w:tab/>
      </w:r>
      <w:r w:rsidRPr="0093338E">
        <w:t xml:space="preserve">indeks </w:t>
      </w:r>
      <w:r w:rsidR="0093338E">
        <w:t>34,4</w:t>
      </w:r>
    </w:p>
    <w:p w:rsidR="00844BA9" w:rsidRPr="0093338E" w:rsidRDefault="0093338E" w:rsidP="00844BA9">
      <w:pPr>
        <w:tabs>
          <w:tab w:val="decimal" w:pos="8789"/>
        </w:tabs>
        <w:spacing w:after="0"/>
        <w:jc w:val="center"/>
      </w:pPr>
      <w:r w:rsidRPr="0093338E">
        <w:rPr>
          <w:noProof/>
          <w:lang w:eastAsia="hr-HR"/>
        </w:rPr>
        <w:drawing>
          <wp:inline distT="0" distB="0" distL="0" distR="0">
            <wp:extent cx="6645910" cy="1221395"/>
            <wp:effectExtent l="0" t="0" r="254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9" w:rsidRPr="0093338E" w:rsidRDefault="00C76CF9" w:rsidP="00C76CF9">
      <w:pPr>
        <w:tabs>
          <w:tab w:val="decimal" w:pos="8789"/>
        </w:tabs>
        <w:spacing w:after="120"/>
      </w:pPr>
      <w:r w:rsidRPr="0093338E">
        <w:rPr>
          <w:i/>
          <w:sz w:val="18"/>
        </w:rPr>
        <w:t>Isječak iz bilance na dan 31.12.2020. god.</w:t>
      </w:r>
    </w:p>
    <w:p w:rsidR="00E3629E" w:rsidRPr="0093338E" w:rsidRDefault="00844BA9" w:rsidP="00844BA9">
      <w:pPr>
        <w:tabs>
          <w:tab w:val="decimal" w:pos="8789"/>
        </w:tabs>
        <w:spacing w:after="120"/>
        <w:rPr>
          <w:bCs/>
          <w:iCs/>
          <w:sz w:val="20"/>
        </w:rPr>
      </w:pPr>
      <w:r w:rsidRPr="0093338E">
        <w:rPr>
          <w:bCs/>
          <w:iCs/>
          <w:sz w:val="20"/>
        </w:rPr>
        <w:t xml:space="preserve">Vrijednost </w:t>
      </w:r>
      <w:r w:rsidR="00E3629E" w:rsidRPr="0093338E">
        <w:rPr>
          <w:bCs/>
          <w:iCs/>
          <w:sz w:val="20"/>
        </w:rPr>
        <w:t>Zaliha sitnog inventara</w:t>
      </w:r>
      <w:r w:rsidRPr="0093338E">
        <w:rPr>
          <w:bCs/>
          <w:iCs/>
          <w:sz w:val="20"/>
        </w:rPr>
        <w:t xml:space="preserve"> je </w:t>
      </w:r>
      <w:r w:rsidR="0093338E">
        <w:rPr>
          <w:bCs/>
          <w:iCs/>
          <w:sz w:val="20"/>
        </w:rPr>
        <w:t>smanjena</w:t>
      </w:r>
      <w:r w:rsidR="00E3629E" w:rsidRPr="0093338E">
        <w:rPr>
          <w:bCs/>
          <w:iCs/>
          <w:sz w:val="20"/>
        </w:rPr>
        <w:t xml:space="preserve"> za </w:t>
      </w:r>
      <w:r w:rsidR="0093338E">
        <w:rPr>
          <w:bCs/>
          <w:iCs/>
          <w:sz w:val="20"/>
        </w:rPr>
        <w:t>64</w:t>
      </w:r>
      <w:r w:rsidR="00E3629E" w:rsidRPr="0093338E">
        <w:rPr>
          <w:bCs/>
          <w:iCs/>
          <w:sz w:val="20"/>
        </w:rPr>
        <w:t>.</w:t>
      </w:r>
      <w:r w:rsidR="0093338E">
        <w:rPr>
          <w:bCs/>
          <w:iCs/>
          <w:sz w:val="20"/>
        </w:rPr>
        <w:t>296</w:t>
      </w:r>
      <w:r w:rsidR="00554EF9">
        <w:rPr>
          <w:bCs/>
          <w:iCs/>
          <w:sz w:val="20"/>
        </w:rPr>
        <w:t xml:space="preserve">,00 </w:t>
      </w:r>
      <w:r w:rsidR="007232FD">
        <w:rPr>
          <w:bCs/>
          <w:iCs/>
          <w:sz w:val="20"/>
        </w:rPr>
        <w:t>kuna radi</w:t>
      </w:r>
      <w:r w:rsidR="0093338E">
        <w:rPr>
          <w:bCs/>
          <w:iCs/>
          <w:sz w:val="20"/>
        </w:rPr>
        <w:t xml:space="preserve"> izdavanja sitnog inventara u upotrebu koji se početkom godine nalazio na zalihama</w:t>
      </w:r>
      <w:r w:rsidR="00E3629E" w:rsidRPr="0093338E">
        <w:rPr>
          <w:bCs/>
          <w:iCs/>
          <w:sz w:val="20"/>
        </w:rPr>
        <w:t>.</w:t>
      </w:r>
      <w:r w:rsidR="0093338E">
        <w:rPr>
          <w:bCs/>
          <w:iCs/>
          <w:sz w:val="20"/>
        </w:rPr>
        <w:t xml:space="preserve"> Zbog opremanja COVID odjela potrebnom medicinskom opremom, uključuj</w:t>
      </w:r>
      <w:r w:rsidR="007232FD">
        <w:rPr>
          <w:bCs/>
          <w:iCs/>
          <w:sz w:val="20"/>
        </w:rPr>
        <w:t>ući i medicinski sitni inventar</w:t>
      </w:r>
      <w:r w:rsidR="0093338E">
        <w:rPr>
          <w:bCs/>
          <w:iCs/>
          <w:sz w:val="20"/>
        </w:rPr>
        <w:t xml:space="preserve"> došlo je do značajnog porasta sitnog inventara u upotrebi</w:t>
      </w:r>
      <w:r w:rsidR="007232FD">
        <w:rPr>
          <w:bCs/>
          <w:iCs/>
          <w:sz w:val="20"/>
        </w:rPr>
        <w:t>,</w:t>
      </w:r>
      <w:r w:rsidR="0093338E">
        <w:rPr>
          <w:bCs/>
          <w:iCs/>
          <w:sz w:val="20"/>
        </w:rPr>
        <w:t xml:space="preserve"> te ispravke vrijednosti istoga u visini od 1.550.578,00 </w:t>
      </w:r>
      <w:r w:rsidR="007232FD">
        <w:rPr>
          <w:bCs/>
          <w:iCs/>
          <w:sz w:val="20"/>
        </w:rPr>
        <w:t xml:space="preserve">kuna </w:t>
      </w:r>
      <w:r w:rsidR="0093338E">
        <w:rPr>
          <w:bCs/>
          <w:iCs/>
          <w:sz w:val="20"/>
        </w:rPr>
        <w:t>(povećanje od 12,20% u odnosu na 2019. godinu).</w:t>
      </w:r>
    </w:p>
    <w:p w:rsidR="002642B5" w:rsidRPr="002D4017" w:rsidRDefault="002642B5" w:rsidP="002642B5">
      <w:pPr>
        <w:keepNext/>
        <w:tabs>
          <w:tab w:val="decimal" w:pos="6237"/>
          <w:tab w:val="decimal" w:pos="8789"/>
        </w:tabs>
        <w:spacing w:after="0"/>
        <w:rPr>
          <w:bCs/>
          <w:iCs/>
          <w:sz w:val="20"/>
          <w:highlight w:val="yellow"/>
        </w:rPr>
      </w:pPr>
    </w:p>
    <w:p w:rsidR="002642B5" w:rsidRPr="00653ADF" w:rsidRDefault="002642B5" w:rsidP="002642B5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 w:rsidRPr="00653ADF">
        <w:rPr>
          <w:b/>
          <w:color w:val="42402C" w:themeColor="accent4" w:themeShade="80"/>
          <w:u w:val="single"/>
        </w:rPr>
        <w:t>AOP- 051– DUGOTRAJNA NEFINANCIJSKA IMOVINA U PRIPREMI</w:t>
      </w:r>
      <w:r w:rsidRPr="00653ADF">
        <w:rPr>
          <w:b/>
          <w:color w:val="42402C" w:themeColor="accent4" w:themeShade="80"/>
          <w:u w:val="single"/>
        </w:rPr>
        <w:tab/>
        <w:t xml:space="preserve">indeks </w:t>
      </w:r>
      <w:r w:rsidR="00712B66" w:rsidRPr="00653ADF">
        <w:rPr>
          <w:b/>
          <w:color w:val="42402C" w:themeColor="accent4" w:themeShade="80"/>
          <w:u w:val="single"/>
        </w:rPr>
        <w:t>1</w:t>
      </w:r>
      <w:r w:rsidR="00653ADF">
        <w:rPr>
          <w:b/>
          <w:color w:val="42402C" w:themeColor="accent4" w:themeShade="80"/>
          <w:u w:val="single"/>
        </w:rPr>
        <w:t>91</w:t>
      </w:r>
      <w:r w:rsidR="00E3629E" w:rsidRPr="00653ADF">
        <w:rPr>
          <w:b/>
          <w:color w:val="42402C" w:themeColor="accent4" w:themeShade="80"/>
          <w:u w:val="single"/>
        </w:rPr>
        <w:t>,</w:t>
      </w:r>
      <w:r w:rsidR="00712B66" w:rsidRPr="00653ADF">
        <w:rPr>
          <w:b/>
          <w:color w:val="42402C" w:themeColor="accent4" w:themeShade="80"/>
          <w:u w:val="single"/>
        </w:rPr>
        <w:t>1</w:t>
      </w:r>
    </w:p>
    <w:p w:rsidR="002642B5" w:rsidRPr="00653ADF" w:rsidRDefault="00653ADF" w:rsidP="002642B5">
      <w:pPr>
        <w:tabs>
          <w:tab w:val="decimal" w:pos="8789"/>
        </w:tabs>
        <w:spacing w:after="0"/>
        <w:jc w:val="center"/>
      </w:pPr>
      <w:r w:rsidRPr="00653ADF">
        <w:rPr>
          <w:noProof/>
          <w:lang w:eastAsia="hr-HR"/>
        </w:rPr>
        <w:drawing>
          <wp:inline distT="0" distB="0" distL="0" distR="0">
            <wp:extent cx="6645910" cy="1153261"/>
            <wp:effectExtent l="0" t="0" r="2540" b="889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5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9" w:rsidRPr="00653ADF" w:rsidRDefault="00C76CF9" w:rsidP="00C76CF9">
      <w:pPr>
        <w:tabs>
          <w:tab w:val="decimal" w:pos="8789"/>
        </w:tabs>
        <w:spacing w:after="120"/>
      </w:pPr>
      <w:r w:rsidRPr="00653ADF">
        <w:rPr>
          <w:i/>
          <w:sz w:val="18"/>
        </w:rPr>
        <w:t>Isječak iz bilance na dan 31.12.2020. god.</w:t>
      </w:r>
    </w:p>
    <w:p w:rsidR="002642B5" w:rsidRDefault="002642B5" w:rsidP="002642B5">
      <w:pPr>
        <w:tabs>
          <w:tab w:val="decimal" w:pos="8789"/>
        </w:tabs>
        <w:spacing w:after="120"/>
        <w:rPr>
          <w:bCs/>
          <w:iCs/>
          <w:sz w:val="20"/>
        </w:rPr>
      </w:pPr>
      <w:r w:rsidRPr="00653ADF">
        <w:rPr>
          <w:bCs/>
          <w:iCs/>
          <w:sz w:val="20"/>
        </w:rPr>
        <w:t>Vrijednost dugotrajne nefinancijske imovin</w:t>
      </w:r>
      <w:r w:rsidR="00E3629E" w:rsidRPr="00653ADF">
        <w:rPr>
          <w:bCs/>
          <w:iCs/>
          <w:sz w:val="20"/>
        </w:rPr>
        <w:t xml:space="preserve">e u pripremi </w:t>
      </w:r>
      <w:r w:rsidR="00712B66" w:rsidRPr="00653ADF">
        <w:rPr>
          <w:bCs/>
          <w:iCs/>
          <w:sz w:val="20"/>
        </w:rPr>
        <w:t>povećana</w:t>
      </w:r>
      <w:r w:rsidR="00E3629E" w:rsidRPr="00653ADF">
        <w:rPr>
          <w:bCs/>
          <w:iCs/>
          <w:sz w:val="20"/>
        </w:rPr>
        <w:t xml:space="preserve"> je za </w:t>
      </w:r>
      <w:r w:rsidR="00653ADF">
        <w:rPr>
          <w:bCs/>
          <w:iCs/>
          <w:sz w:val="20"/>
        </w:rPr>
        <w:t>91</w:t>
      </w:r>
      <w:r w:rsidR="00712B66" w:rsidRPr="00653ADF">
        <w:rPr>
          <w:bCs/>
          <w:iCs/>
          <w:sz w:val="20"/>
        </w:rPr>
        <w:t>,1</w:t>
      </w:r>
      <w:r w:rsidRPr="00653ADF">
        <w:rPr>
          <w:bCs/>
          <w:iCs/>
          <w:sz w:val="20"/>
        </w:rPr>
        <w:t>% poradi</w:t>
      </w:r>
      <w:r w:rsidR="00712B66" w:rsidRPr="00653ADF">
        <w:rPr>
          <w:bCs/>
          <w:iCs/>
          <w:sz w:val="20"/>
        </w:rPr>
        <w:t xml:space="preserve"> </w:t>
      </w:r>
      <w:r w:rsidR="00653ADF">
        <w:rPr>
          <w:bCs/>
          <w:iCs/>
          <w:sz w:val="20"/>
        </w:rPr>
        <w:t xml:space="preserve">nastavka </w:t>
      </w:r>
      <w:r w:rsidR="00712B66" w:rsidRPr="00653ADF">
        <w:rPr>
          <w:bCs/>
          <w:iCs/>
          <w:sz w:val="20"/>
        </w:rPr>
        <w:t>radova na izgradnji zgrade Dnevnih bolnica Odjela za infektologiju, dermatologiju, onkologiju i pulmologiju</w:t>
      </w:r>
      <w:r w:rsidRPr="00653ADF">
        <w:rPr>
          <w:bCs/>
          <w:iCs/>
          <w:sz w:val="20"/>
        </w:rPr>
        <w:t>.</w:t>
      </w:r>
      <w:r w:rsidR="00653ADF">
        <w:rPr>
          <w:bCs/>
          <w:iCs/>
          <w:sz w:val="20"/>
        </w:rPr>
        <w:t xml:space="preserve"> Vrijednost privremenih situacija za gradnju iste u 2020. godini iznosi 9.560.627,00 </w:t>
      </w:r>
      <w:r w:rsidR="007232FD">
        <w:rPr>
          <w:bCs/>
          <w:iCs/>
          <w:sz w:val="20"/>
        </w:rPr>
        <w:t>kuna</w:t>
      </w:r>
      <w:r w:rsidR="00653ADF">
        <w:rPr>
          <w:bCs/>
          <w:iCs/>
          <w:sz w:val="20"/>
        </w:rPr>
        <w:t>.</w:t>
      </w:r>
    </w:p>
    <w:p w:rsidR="00653ADF" w:rsidRDefault="00653ADF" w:rsidP="002642B5">
      <w:pPr>
        <w:tabs>
          <w:tab w:val="decimal" w:pos="8789"/>
        </w:tabs>
        <w:spacing w:after="120"/>
        <w:rPr>
          <w:bCs/>
          <w:iCs/>
          <w:sz w:val="20"/>
        </w:rPr>
      </w:pPr>
    </w:p>
    <w:p w:rsidR="00653ADF" w:rsidRDefault="00653ADF" w:rsidP="002642B5">
      <w:pPr>
        <w:tabs>
          <w:tab w:val="decimal" w:pos="8789"/>
        </w:tabs>
        <w:spacing w:after="120"/>
        <w:rPr>
          <w:bCs/>
          <w:iCs/>
          <w:sz w:val="20"/>
        </w:rPr>
      </w:pPr>
    </w:p>
    <w:p w:rsidR="00653ADF" w:rsidRDefault="00653ADF" w:rsidP="002642B5">
      <w:pPr>
        <w:tabs>
          <w:tab w:val="decimal" w:pos="8789"/>
        </w:tabs>
        <w:spacing w:after="120"/>
        <w:rPr>
          <w:bCs/>
          <w:iCs/>
          <w:sz w:val="20"/>
        </w:rPr>
      </w:pPr>
    </w:p>
    <w:p w:rsidR="00653ADF" w:rsidRDefault="00653ADF" w:rsidP="002642B5">
      <w:pPr>
        <w:tabs>
          <w:tab w:val="decimal" w:pos="8789"/>
        </w:tabs>
        <w:spacing w:after="120"/>
        <w:rPr>
          <w:bCs/>
          <w:iCs/>
          <w:sz w:val="20"/>
        </w:rPr>
      </w:pPr>
    </w:p>
    <w:p w:rsidR="00653ADF" w:rsidRDefault="00653ADF" w:rsidP="002642B5">
      <w:pPr>
        <w:tabs>
          <w:tab w:val="decimal" w:pos="8789"/>
        </w:tabs>
        <w:spacing w:after="120"/>
        <w:rPr>
          <w:bCs/>
          <w:iCs/>
          <w:sz w:val="20"/>
        </w:rPr>
      </w:pPr>
    </w:p>
    <w:p w:rsidR="00653ADF" w:rsidRPr="00653ADF" w:rsidRDefault="00653ADF" w:rsidP="002642B5">
      <w:pPr>
        <w:tabs>
          <w:tab w:val="decimal" w:pos="8789"/>
        </w:tabs>
        <w:spacing w:after="120"/>
        <w:rPr>
          <w:bCs/>
          <w:iCs/>
          <w:sz w:val="20"/>
        </w:rPr>
      </w:pPr>
    </w:p>
    <w:p w:rsidR="008743F3" w:rsidRPr="002D4017" w:rsidRDefault="008743F3" w:rsidP="00DD045A">
      <w:pPr>
        <w:keepNext/>
        <w:tabs>
          <w:tab w:val="decimal" w:pos="6237"/>
          <w:tab w:val="decimal" w:pos="8789"/>
        </w:tabs>
        <w:spacing w:after="0"/>
        <w:rPr>
          <w:bCs/>
          <w:iCs/>
          <w:sz w:val="20"/>
          <w:highlight w:val="yellow"/>
        </w:rPr>
      </w:pPr>
    </w:p>
    <w:p w:rsidR="00E138A3" w:rsidRPr="00653ADF" w:rsidRDefault="00E138A3" w:rsidP="00E138A3">
      <w:pPr>
        <w:numPr>
          <w:ilvl w:val="0"/>
          <w:numId w:val="2"/>
        </w:numPr>
        <w:tabs>
          <w:tab w:val="decimal" w:pos="7371"/>
          <w:tab w:val="decimal" w:pos="8789"/>
        </w:tabs>
        <w:spacing w:before="240" w:after="120" w:line="240" w:lineRule="auto"/>
        <w:ind w:left="357" w:hanging="357"/>
        <w:contextualSpacing/>
        <w:rPr>
          <w:b/>
          <w:bCs/>
          <w:iCs/>
          <w:color w:val="42402C" w:themeColor="accent4" w:themeShade="80"/>
          <w:u w:val="single"/>
        </w:rPr>
      </w:pPr>
      <w:r w:rsidRPr="00653ADF">
        <w:rPr>
          <w:b/>
          <w:color w:val="42402C" w:themeColor="accent4" w:themeShade="80"/>
          <w:u w:val="single"/>
        </w:rPr>
        <w:t>AOP-064 – NOVAC U BANCI I BLAGAJNI</w:t>
      </w:r>
      <w:r w:rsidRPr="00653ADF">
        <w:rPr>
          <w:b/>
          <w:color w:val="42402C" w:themeColor="accent4" w:themeShade="80"/>
          <w:u w:val="single"/>
        </w:rPr>
        <w:tab/>
      </w:r>
      <w:r w:rsidRPr="00653ADF">
        <w:rPr>
          <w:b/>
          <w:color w:val="42402C" w:themeColor="accent4" w:themeShade="80"/>
          <w:u w:val="single"/>
        </w:rPr>
        <w:tab/>
        <w:t xml:space="preserve">indeks </w:t>
      </w:r>
      <w:r w:rsidR="00653ADF">
        <w:rPr>
          <w:b/>
          <w:color w:val="42402C" w:themeColor="accent4" w:themeShade="80"/>
          <w:u w:val="single"/>
        </w:rPr>
        <w:t>72,4</w:t>
      </w:r>
    </w:p>
    <w:p w:rsidR="00E138A3" w:rsidRPr="00653ADF" w:rsidRDefault="00653ADF" w:rsidP="00E138A3">
      <w:pPr>
        <w:tabs>
          <w:tab w:val="decimal" w:pos="7371"/>
          <w:tab w:val="decimal" w:pos="8789"/>
        </w:tabs>
        <w:spacing w:after="0"/>
        <w:jc w:val="center"/>
        <w:rPr>
          <w:bCs/>
          <w:iCs/>
        </w:rPr>
      </w:pPr>
      <w:r w:rsidRPr="00653ADF">
        <w:rPr>
          <w:noProof/>
          <w:lang w:eastAsia="hr-HR"/>
        </w:rPr>
        <w:drawing>
          <wp:inline distT="0" distB="0" distL="0" distR="0">
            <wp:extent cx="6645910" cy="1760328"/>
            <wp:effectExtent l="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6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9" w:rsidRPr="00653ADF" w:rsidRDefault="00C76CF9" w:rsidP="00C76CF9">
      <w:pPr>
        <w:tabs>
          <w:tab w:val="decimal" w:pos="8789"/>
        </w:tabs>
        <w:spacing w:after="120"/>
      </w:pPr>
      <w:r w:rsidRPr="00653ADF">
        <w:rPr>
          <w:i/>
          <w:sz w:val="18"/>
        </w:rPr>
        <w:t>Isječak iz bilance na dan 31.12.2020. god.</w:t>
      </w:r>
    </w:p>
    <w:p w:rsidR="003578A7" w:rsidRPr="00554EF9" w:rsidRDefault="003578A7" w:rsidP="003578A7">
      <w:pPr>
        <w:tabs>
          <w:tab w:val="decimal" w:pos="709"/>
        </w:tabs>
        <w:spacing w:after="0" w:line="240" w:lineRule="auto"/>
        <w:rPr>
          <w:rFonts w:asciiTheme="majorHAnsi" w:eastAsia="Calibri" w:hAnsiTheme="majorHAnsi" w:cstheme="majorHAnsi"/>
          <w:b/>
          <w:u w:val="single"/>
        </w:rPr>
      </w:pPr>
      <w:r w:rsidRPr="00554EF9">
        <w:rPr>
          <w:rFonts w:asciiTheme="majorHAnsi" w:eastAsia="Calibri" w:hAnsiTheme="majorHAnsi" w:cstheme="majorHAnsi"/>
          <w:u w:val="single"/>
        </w:rPr>
        <w:t>Stanje novčanih s</w:t>
      </w:r>
      <w:r w:rsidR="00D36F21">
        <w:rPr>
          <w:rFonts w:asciiTheme="majorHAnsi" w:eastAsia="Calibri" w:hAnsiTheme="majorHAnsi" w:cstheme="majorHAnsi"/>
          <w:u w:val="single"/>
        </w:rPr>
        <w:t>redstava na dan 31. prosinca 2020</w:t>
      </w:r>
      <w:r w:rsidRPr="00554EF9">
        <w:rPr>
          <w:rFonts w:asciiTheme="majorHAnsi" w:eastAsia="Calibri" w:hAnsiTheme="majorHAnsi" w:cstheme="majorHAnsi"/>
          <w:u w:val="single"/>
        </w:rPr>
        <w:t>. iznosi:</w:t>
      </w:r>
      <w:r w:rsidRPr="00554EF9">
        <w:rPr>
          <w:rFonts w:asciiTheme="majorHAnsi" w:eastAsia="Calibri" w:hAnsiTheme="majorHAnsi" w:cstheme="majorHAnsi"/>
          <w:u w:val="single"/>
        </w:rPr>
        <w:tab/>
      </w:r>
      <w:r w:rsidRPr="00554EF9">
        <w:rPr>
          <w:rFonts w:asciiTheme="majorHAnsi" w:eastAsia="Calibri" w:hAnsiTheme="majorHAnsi" w:cstheme="majorHAnsi"/>
          <w:u w:val="single"/>
        </w:rPr>
        <w:tab/>
      </w:r>
      <w:r w:rsidRPr="00554EF9">
        <w:rPr>
          <w:rFonts w:asciiTheme="majorHAnsi" w:eastAsia="Calibri" w:hAnsiTheme="majorHAnsi" w:cstheme="majorHAnsi"/>
          <w:u w:val="single"/>
        </w:rPr>
        <w:tab/>
      </w:r>
      <w:r w:rsidR="00D36F21">
        <w:rPr>
          <w:rFonts w:asciiTheme="majorHAnsi" w:eastAsia="Calibri" w:hAnsiTheme="majorHAnsi" w:cstheme="majorHAnsi"/>
          <w:b/>
          <w:u w:val="single"/>
        </w:rPr>
        <w:t>9.850.764</w:t>
      </w:r>
      <w:r w:rsidRPr="00554EF9">
        <w:rPr>
          <w:rFonts w:asciiTheme="majorHAnsi" w:eastAsia="Calibri" w:hAnsiTheme="majorHAnsi" w:cstheme="majorHAnsi"/>
          <w:b/>
          <w:u w:val="single"/>
        </w:rPr>
        <w:t>,00 kn,</w:t>
      </w:r>
    </w:p>
    <w:p w:rsidR="003578A7" w:rsidRPr="00554EF9" w:rsidRDefault="003578A7" w:rsidP="00D93EC9">
      <w:pPr>
        <w:tabs>
          <w:tab w:val="decimal" w:pos="709"/>
        </w:tabs>
        <w:spacing w:after="0" w:line="240" w:lineRule="auto"/>
        <w:rPr>
          <w:rFonts w:asciiTheme="majorHAnsi" w:eastAsia="Calibri" w:hAnsiTheme="majorHAnsi" w:cstheme="majorHAnsi"/>
        </w:rPr>
      </w:pPr>
      <w:r w:rsidRPr="00554EF9">
        <w:rPr>
          <w:rFonts w:asciiTheme="majorHAnsi" w:eastAsia="Calibri" w:hAnsiTheme="majorHAnsi" w:cstheme="majorHAnsi"/>
        </w:rPr>
        <w:t xml:space="preserve">a odnosi se na: </w:t>
      </w:r>
    </w:p>
    <w:p w:rsidR="00D93EC9" w:rsidRPr="00D36F21" w:rsidRDefault="00D93EC9" w:rsidP="00D36F21">
      <w:pPr>
        <w:pStyle w:val="ListParagraph"/>
        <w:numPr>
          <w:ilvl w:val="0"/>
          <w:numId w:val="23"/>
        </w:numPr>
        <w:tabs>
          <w:tab w:val="decimal" w:pos="709"/>
          <w:tab w:val="decimal" w:pos="6804"/>
          <w:tab w:val="decimal" w:pos="7938"/>
        </w:tabs>
        <w:spacing w:before="0"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Izdvojena novčana sredstva  (Donacije „Liga za borbu protiv raka“)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="00D36F21">
        <w:rPr>
          <w:rFonts w:asciiTheme="majorHAnsi" w:eastAsia="Calibri" w:hAnsiTheme="majorHAnsi" w:cstheme="majorHAnsi"/>
          <w:b w:val="0"/>
          <w:color w:val="auto"/>
          <w:u w:val="none"/>
        </w:rPr>
        <w:t>1.838.975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,00 kn,</w:t>
      </w:r>
    </w:p>
    <w:p w:rsidR="00D93EC9" w:rsidRPr="00554EF9" w:rsidRDefault="00D93EC9" w:rsidP="00D93EC9">
      <w:pPr>
        <w:pStyle w:val="ListParagraph"/>
        <w:numPr>
          <w:ilvl w:val="0"/>
          <w:numId w:val="23"/>
        </w:numPr>
        <w:tabs>
          <w:tab w:val="decimal" w:pos="709"/>
          <w:tab w:val="decimal" w:pos="7938"/>
        </w:tabs>
        <w:spacing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N</w:t>
      </w:r>
      <w:r w:rsidR="00D36F21">
        <w:rPr>
          <w:rFonts w:asciiTheme="majorHAnsi" w:eastAsia="Calibri" w:hAnsiTheme="majorHAnsi" w:cstheme="majorHAnsi"/>
          <w:b w:val="0"/>
          <w:color w:val="auto"/>
          <w:u w:val="none"/>
        </w:rPr>
        <w:t>eutrošene namjenska sredstva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="00D36F21">
        <w:rPr>
          <w:rFonts w:asciiTheme="majorHAnsi" w:eastAsia="Calibri" w:hAnsiTheme="majorHAnsi" w:cstheme="majorHAnsi"/>
          <w:b w:val="0"/>
          <w:color w:val="auto"/>
          <w:u w:val="none"/>
        </w:rPr>
        <w:t>1.585.749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,00 kn,</w:t>
      </w:r>
    </w:p>
    <w:p w:rsidR="00D93EC9" w:rsidRPr="00554EF9" w:rsidRDefault="00D93EC9" w:rsidP="00D93EC9">
      <w:pPr>
        <w:pStyle w:val="ListParagraph"/>
        <w:numPr>
          <w:ilvl w:val="0"/>
          <w:numId w:val="23"/>
        </w:numPr>
        <w:tabs>
          <w:tab w:val="decimal" w:pos="709"/>
          <w:tab w:val="decimal" w:pos="6804"/>
          <w:tab w:val="decimal" w:pos="7938"/>
          <w:tab w:val="decimal" w:pos="8505"/>
        </w:tabs>
        <w:spacing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Dio avansa (EU sredstva) DNB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="00D36F21">
        <w:rPr>
          <w:rFonts w:asciiTheme="majorHAnsi" w:eastAsia="Calibri" w:hAnsiTheme="majorHAnsi" w:cstheme="majorHAnsi"/>
          <w:b w:val="0"/>
          <w:color w:val="auto"/>
          <w:u w:val="none"/>
        </w:rPr>
        <w:t>1.180.880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,00 kn,</w:t>
      </w:r>
    </w:p>
    <w:p w:rsidR="00D93EC9" w:rsidRDefault="00D93EC9" w:rsidP="00D93EC9">
      <w:pPr>
        <w:pStyle w:val="ListParagraph"/>
        <w:numPr>
          <w:ilvl w:val="0"/>
          <w:numId w:val="23"/>
        </w:numPr>
        <w:tabs>
          <w:tab w:val="decimal" w:pos="709"/>
          <w:tab w:val="decimal" w:pos="6804"/>
          <w:tab w:val="decimal" w:pos="7938"/>
          <w:tab w:val="decimal" w:pos="8505"/>
        </w:tabs>
        <w:spacing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Dio avansa (EU sredstva) „Vaša sigurnost je u našim rukama“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="00D36F21">
        <w:rPr>
          <w:rFonts w:asciiTheme="majorHAnsi" w:eastAsia="Calibri" w:hAnsiTheme="majorHAnsi" w:cstheme="majorHAnsi"/>
          <w:b w:val="0"/>
          <w:color w:val="auto"/>
          <w:u w:val="none"/>
        </w:rPr>
        <w:t>154.644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,00 kn,</w:t>
      </w:r>
    </w:p>
    <w:p w:rsidR="00D36F21" w:rsidRDefault="00D36F21" w:rsidP="00D93EC9">
      <w:pPr>
        <w:pStyle w:val="ListParagraph"/>
        <w:numPr>
          <w:ilvl w:val="0"/>
          <w:numId w:val="23"/>
        </w:numPr>
        <w:tabs>
          <w:tab w:val="decimal" w:pos="709"/>
          <w:tab w:val="decimal" w:pos="6804"/>
          <w:tab w:val="decimal" w:pos="7938"/>
          <w:tab w:val="decimal" w:pos="8505"/>
        </w:tabs>
        <w:spacing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Dio avansa (EU sredstva)</w:t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 xml:space="preserve"> „LAB-OP“</w:t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ab/>
        <w:t>245.983,00 kn,</w:t>
      </w:r>
    </w:p>
    <w:p w:rsidR="00D36F21" w:rsidRPr="00554EF9" w:rsidRDefault="00D36F21" w:rsidP="00D93EC9">
      <w:pPr>
        <w:pStyle w:val="ListParagraph"/>
        <w:numPr>
          <w:ilvl w:val="0"/>
          <w:numId w:val="23"/>
        </w:numPr>
        <w:tabs>
          <w:tab w:val="decimal" w:pos="709"/>
          <w:tab w:val="decimal" w:pos="6804"/>
          <w:tab w:val="decimal" w:pos="7938"/>
          <w:tab w:val="decimal" w:pos="8505"/>
        </w:tabs>
        <w:spacing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Dio avansa (EU sredstva)</w:t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 xml:space="preserve"> „ON TIME“</w:t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ab/>
        <w:t>144.244,00 kn,</w:t>
      </w:r>
    </w:p>
    <w:p w:rsidR="00D93EC9" w:rsidRDefault="00D93EC9" w:rsidP="00D93EC9">
      <w:pPr>
        <w:pStyle w:val="ListParagraph"/>
        <w:numPr>
          <w:ilvl w:val="0"/>
          <w:numId w:val="23"/>
        </w:numPr>
        <w:tabs>
          <w:tab w:val="decimal" w:pos="709"/>
          <w:tab w:val="decimal" w:pos="6804"/>
          <w:tab w:val="decimal" w:pos="7938"/>
          <w:tab w:val="decimal" w:pos="8505"/>
        </w:tabs>
        <w:spacing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Depozit FINA/e (Lavčević Zadar d.o.o.)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  <w:t>4.</w:t>
      </w:r>
      <w:r w:rsidR="00D36F21">
        <w:rPr>
          <w:rFonts w:asciiTheme="majorHAnsi" w:eastAsia="Calibri" w:hAnsiTheme="majorHAnsi" w:cstheme="majorHAnsi"/>
          <w:b w:val="0"/>
          <w:color w:val="auto"/>
          <w:u w:val="none"/>
        </w:rPr>
        <w:t>573.290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,00 kn,</w:t>
      </w:r>
    </w:p>
    <w:p w:rsidR="00D36F21" w:rsidRDefault="00D36F21" w:rsidP="00D93EC9">
      <w:pPr>
        <w:pStyle w:val="ListParagraph"/>
        <w:numPr>
          <w:ilvl w:val="0"/>
          <w:numId w:val="23"/>
        </w:numPr>
        <w:tabs>
          <w:tab w:val="decimal" w:pos="709"/>
          <w:tab w:val="decimal" w:pos="6804"/>
          <w:tab w:val="decimal" w:pos="7938"/>
          <w:tab w:val="decimal" w:pos="8505"/>
        </w:tabs>
        <w:spacing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>
        <w:rPr>
          <w:rFonts w:asciiTheme="majorHAnsi" w:eastAsia="Calibri" w:hAnsiTheme="majorHAnsi" w:cstheme="majorHAnsi"/>
          <w:b w:val="0"/>
          <w:color w:val="auto"/>
          <w:u w:val="none"/>
        </w:rPr>
        <w:t>Prijelazni Ž-R</w:t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ab/>
        <w:t>86.000,00 kn,</w:t>
      </w:r>
    </w:p>
    <w:p w:rsidR="00D36F21" w:rsidRPr="00554EF9" w:rsidRDefault="00D36F21" w:rsidP="00D93EC9">
      <w:pPr>
        <w:pStyle w:val="ListParagraph"/>
        <w:numPr>
          <w:ilvl w:val="0"/>
          <w:numId w:val="23"/>
        </w:numPr>
        <w:tabs>
          <w:tab w:val="decimal" w:pos="709"/>
          <w:tab w:val="decimal" w:pos="6804"/>
          <w:tab w:val="decimal" w:pos="7938"/>
          <w:tab w:val="decimal" w:pos="8505"/>
        </w:tabs>
        <w:spacing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>
        <w:rPr>
          <w:rFonts w:asciiTheme="majorHAnsi" w:eastAsia="Calibri" w:hAnsiTheme="majorHAnsi" w:cstheme="majorHAnsi"/>
          <w:b w:val="0"/>
          <w:color w:val="auto"/>
          <w:u w:val="none"/>
        </w:rPr>
        <w:t>Novac na deviznom Ž-R</w:t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>
        <w:rPr>
          <w:rFonts w:asciiTheme="majorHAnsi" w:eastAsia="Calibri" w:hAnsiTheme="majorHAnsi" w:cstheme="majorHAnsi"/>
          <w:b w:val="0"/>
          <w:color w:val="auto"/>
          <w:u w:val="none"/>
        </w:rPr>
        <w:tab/>
        <w:t>523,00 kn,</w:t>
      </w:r>
    </w:p>
    <w:p w:rsidR="00D93EC9" w:rsidRPr="00554EF9" w:rsidRDefault="00D93EC9" w:rsidP="00D93EC9">
      <w:pPr>
        <w:pStyle w:val="ListParagraph"/>
        <w:numPr>
          <w:ilvl w:val="0"/>
          <w:numId w:val="23"/>
        </w:numPr>
        <w:tabs>
          <w:tab w:val="decimal" w:pos="709"/>
          <w:tab w:val="decimal" w:pos="6804"/>
          <w:tab w:val="decimal" w:pos="7938"/>
          <w:tab w:val="decimal" w:pos="8505"/>
        </w:tabs>
        <w:spacing w:before="0" w:after="0"/>
        <w:rPr>
          <w:rFonts w:asciiTheme="majorHAnsi" w:eastAsia="Calibri" w:hAnsiTheme="majorHAnsi" w:cstheme="majorHAnsi"/>
          <w:b w:val="0"/>
          <w:color w:val="auto"/>
          <w:u w:val="none"/>
        </w:rPr>
      </w:pP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Novac u blagajni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ab/>
      </w:r>
      <w:r w:rsidR="00D36F21">
        <w:rPr>
          <w:rFonts w:asciiTheme="majorHAnsi" w:eastAsia="Calibri" w:hAnsiTheme="majorHAnsi" w:cstheme="majorHAnsi"/>
          <w:b w:val="0"/>
          <w:color w:val="auto"/>
          <w:u w:val="none"/>
        </w:rPr>
        <w:t>40.476</w:t>
      </w:r>
      <w:r w:rsidRPr="00554EF9">
        <w:rPr>
          <w:rFonts w:asciiTheme="majorHAnsi" w:eastAsia="Calibri" w:hAnsiTheme="majorHAnsi" w:cstheme="majorHAnsi"/>
          <w:b w:val="0"/>
          <w:color w:val="auto"/>
          <w:u w:val="none"/>
        </w:rPr>
        <w:t>,00 kn.</w:t>
      </w:r>
    </w:p>
    <w:p w:rsidR="00D93EC9" w:rsidRPr="002D4017" w:rsidRDefault="00D93EC9" w:rsidP="00D93EC9">
      <w:pPr>
        <w:pStyle w:val="ListParagraph"/>
        <w:numPr>
          <w:ilvl w:val="0"/>
          <w:numId w:val="0"/>
        </w:numPr>
        <w:tabs>
          <w:tab w:val="decimal" w:pos="709"/>
          <w:tab w:val="decimal" w:pos="6804"/>
          <w:tab w:val="decimal" w:pos="7938"/>
          <w:tab w:val="decimal" w:pos="8505"/>
        </w:tabs>
        <w:spacing w:before="0" w:after="0"/>
        <w:ind w:left="720"/>
        <w:rPr>
          <w:rFonts w:asciiTheme="majorHAnsi" w:eastAsia="Calibri" w:hAnsiTheme="majorHAnsi" w:cstheme="majorHAnsi"/>
          <w:b w:val="0"/>
          <w:color w:val="auto"/>
          <w:highlight w:val="yellow"/>
          <w:u w:val="none"/>
        </w:rPr>
      </w:pPr>
    </w:p>
    <w:p w:rsidR="002D59CC" w:rsidRPr="00653ADF" w:rsidRDefault="002D59CC" w:rsidP="002D59CC">
      <w:pPr>
        <w:pStyle w:val="ListParagraph"/>
        <w:rPr>
          <w:bCs/>
          <w:iCs/>
        </w:rPr>
      </w:pPr>
      <w:r w:rsidRPr="00653ADF">
        <w:t>AOP-073 – OSTALA POTRAŽIVANJA</w:t>
      </w:r>
      <w:r w:rsidRPr="00653ADF">
        <w:tab/>
      </w:r>
      <w:r w:rsidRPr="00653ADF">
        <w:tab/>
      </w:r>
      <w:r w:rsidRPr="00653ADF">
        <w:tab/>
      </w:r>
      <w:r w:rsidRPr="00653ADF">
        <w:tab/>
      </w:r>
      <w:r w:rsidRPr="00653ADF">
        <w:tab/>
      </w:r>
      <w:r w:rsidRPr="00653ADF">
        <w:tab/>
        <w:t xml:space="preserve">indeks </w:t>
      </w:r>
      <w:r w:rsidR="00653ADF">
        <w:t>49</w:t>
      </w:r>
      <w:r w:rsidR="00D93EC9" w:rsidRPr="00653ADF">
        <w:t>,</w:t>
      </w:r>
      <w:r w:rsidR="00653ADF">
        <w:t>0</w:t>
      </w:r>
    </w:p>
    <w:p w:rsidR="002D59CC" w:rsidRPr="00653ADF" w:rsidRDefault="00653ADF" w:rsidP="002D59CC">
      <w:pPr>
        <w:tabs>
          <w:tab w:val="decimal" w:pos="7371"/>
          <w:tab w:val="decimal" w:pos="8789"/>
        </w:tabs>
        <w:spacing w:after="0"/>
        <w:jc w:val="center"/>
        <w:rPr>
          <w:bCs/>
          <w:iCs/>
        </w:rPr>
      </w:pPr>
      <w:r w:rsidRPr="00653ADF">
        <w:rPr>
          <w:noProof/>
          <w:lang w:eastAsia="hr-HR"/>
        </w:rPr>
        <w:drawing>
          <wp:inline distT="0" distB="0" distL="0" distR="0">
            <wp:extent cx="6645910" cy="1858621"/>
            <wp:effectExtent l="0" t="0" r="2540" b="889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5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9" w:rsidRPr="00653ADF" w:rsidRDefault="00C76CF9" w:rsidP="00C76CF9">
      <w:pPr>
        <w:tabs>
          <w:tab w:val="decimal" w:pos="8789"/>
        </w:tabs>
        <w:spacing w:after="120"/>
      </w:pPr>
      <w:r w:rsidRPr="00653ADF">
        <w:rPr>
          <w:i/>
          <w:sz w:val="18"/>
        </w:rPr>
        <w:t>Isječak iz bilance na dan 31.12.2020. god.</w:t>
      </w:r>
    </w:p>
    <w:p w:rsidR="002D59CC" w:rsidRDefault="00232784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653ADF">
        <w:rPr>
          <w:bCs/>
          <w:iCs/>
        </w:rPr>
        <w:t>Smanjenje</w:t>
      </w:r>
      <w:r w:rsidR="00556605" w:rsidRPr="00653ADF">
        <w:rPr>
          <w:bCs/>
          <w:iCs/>
        </w:rPr>
        <w:t xml:space="preserve"> </w:t>
      </w:r>
      <w:r w:rsidR="002D59CC" w:rsidRPr="00653ADF">
        <w:rPr>
          <w:bCs/>
          <w:iCs/>
        </w:rPr>
        <w:t>ostalih potraživanja u od</w:t>
      </w:r>
      <w:r w:rsidR="00D93EC9" w:rsidRPr="00653ADF">
        <w:rPr>
          <w:bCs/>
          <w:iCs/>
        </w:rPr>
        <w:t>nosu na stanje na dan 01.01.20</w:t>
      </w:r>
      <w:r w:rsidR="00653ADF" w:rsidRPr="00653ADF">
        <w:rPr>
          <w:bCs/>
          <w:iCs/>
        </w:rPr>
        <w:t>20</w:t>
      </w:r>
      <w:r w:rsidR="002D59CC" w:rsidRPr="00653ADF">
        <w:rPr>
          <w:bCs/>
          <w:iCs/>
        </w:rPr>
        <w:t xml:space="preserve">. godine nastalo je uslijed </w:t>
      </w:r>
      <w:r w:rsidRPr="00653ADF">
        <w:rPr>
          <w:bCs/>
          <w:iCs/>
        </w:rPr>
        <w:t>povećanja</w:t>
      </w:r>
      <w:r w:rsidR="002D59CC" w:rsidRPr="00653ADF">
        <w:rPr>
          <w:bCs/>
          <w:iCs/>
        </w:rPr>
        <w:t xml:space="preserve"> naplate starih potraživanja u najvećoj mjeri od strane </w:t>
      </w:r>
      <w:r w:rsidRPr="00653ADF">
        <w:rPr>
          <w:bCs/>
          <w:iCs/>
        </w:rPr>
        <w:t>HZZO-a, tj. refundacije</w:t>
      </w:r>
      <w:r w:rsidR="002D59CC" w:rsidRPr="00653ADF">
        <w:rPr>
          <w:bCs/>
          <w:iCs/>
        </w:rPr>
        <w:t xml:space="preserve"> rashoda za </w:t>
      </w:r>
      <w:r w:rsidR="00556605" w:rsidRPr="00653ADF">
        <w:rPr>
          <w:bCs/>
          <w:iCs/>
        </w:rPr>
        <w:t>skupe lijekove</w:t>
      </w:r>
      <w:r w:rsidR="002D59CC" w:rsidRPr="00653ADF">
        <w:rPr>
          <w:bCs/>
          <w:iCs/>
        </w:rPr>
        <w:t xml:space="preserve"> za liječenje kroničnog hepatitisa C.</w:t>
      </w: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653ADF" w:rsidRPr="00653ADF" w:rsidRDefault="00653ADF" w:rsidP="002D59C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5E211B" w:rsidRPr="002D4017" w:rsidRDefault="005E211B" w:rsidP="002D59CC">
      <w:pPr>
        <w:tabs>
          <w:tab w:val="decimal" w:pos="7371"/>
          <w:tab w:val="decimal" w:pos="8789"/>
        </w:tabs>
        <w:spacing w:after="0"/>
        <w:rPr>
          <w:bCs/>
          <w:iCs/>
          <w:highlight w:val="yellow"/>
        </w:rPr>
      </w:pPr>
    </w:p>
    <w:p w:rsidR="00E138A3" w:rsidRPr="00653ADF" w:rsidRDefault="00E138A3" w:rsidP="00E138A3">
      <w:pPr>
        <w:numPr>
          <w:ilvl w:val="0"/>
          <w:numId w:val="2"/>
        </w:numPr>
        <w:tabs>
          <w:tab w:val="decimal" w:pos="7371"/>
          <w:tab w:val="decimal" w:pos="8789"/>
        </w:tabs>
        <w:spacing w:after="120" w:line="240" w:lineRule="auto"/>
        <w:ind w:left="357" w:hanging="357"/>
        <w:contextualSpacing/>
        <w:rPr>
          <w:b/>
          <w:bCs/>
          <w:iCs/>
          <w:color w:val="42402C" w:themeColor="accent4" w:themeShade="80"/>
          <w:u w:val="single"/>
        </w:rPr>
      </w:pPr>
      <w:r w:rsidRPr="00653ADF">
        <w:rPr>
          <w:b/>
          <w:color w:val="42402C" w:themeColor="accent4" w:themeShade="80"/>
          <w:u w:val="single"/>
        </w:rPr>
        <w:t>AOP-140 – POTRAŽIVANJA ZA PRIHODE POSLOVANJA</w:t>
      </w:r>
      <w:r w:rsidRPr="00653ADF">
        <w:rPr>
          <w:b/>
          <w:color w:val="42402C" w:themeColor="accent4" w:themeShade="80"/>
          <w:u w:val="single"/>
        </w:rPr>
        <w:tab/>
      </w:r>
      <w:r w:rsidRPr="00653ADF">
        <w:rPr>
          <w:b/>
          <w:color w:val="42402C" w:themeColor="accent4" w:themeShade="80"/>
          <w:u w:val="single"/>
        </w:rPr>
        <w:tab/>
        <w:t xml:space="preserve">indeks </w:t>
      </w:r>
      <w:r w:rsidR="00653ADF">
        <w:rPr>
          <w:b/>
          <w:color w:val="42402C" w:themeColor="accent4" w:themeShade="80"/>
          <w:u w:val="single"/>
        </w:rPr>
        <w:t>178</w:t>
      </w:r>
      <w:r w:rsidR="00232784" w:rsidRPr="00653ADF">
        <w:rPr>
          <w:b/>
          <w:color w:val="42402C" w:themeColor="accent4" w:themeShade="80"/>
          <w:u w:val="single"/>
        </w:rPr>
        <w:t>,8</w:t>
      </w:r>
    </w:p>
    <w:p w:rsidR="00E138A3" w:rsidRPr="00653ADF" w:rsidRDefault="00653ADF" w:rsidP="00E138A3">
      <w:pPr>
        <w:tabs>
          <w:tab w:val="decimal" w:pos="7371"/>
          <w:tab w:val="decimal" w:pos="8789"/>
        </w:tabs>
        <w:spacing w:after="0"/>
        <w:jc w:val="center"/>
        <w:rPr>
          <w:noProof/>
          <w:lang w:eastAsia="hr-HR"/>
        </w:rPr>
      </w:pPr>
      <w:r w:rsidRPr="00653ADF">
        <w:rPr>
          <w:noProof/>
          <w:lang w:eastAsia="hr-HR"/>
        </w:rPr>
        <w:drawing>
          <wp:inline distT="0" distB="0" distL="0" distR="0">
            <wp:extent cx="6645910" cy="3064937"/>
            <wp:effectExtent l="0" t="0" r="2540" b="2540"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6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9" w:rsidRPr="00653ADF" w:rsidRDefault="00C76CF9" w:rsidP="00C76CF9">
      <w:pPr>
        <w:tabs>
          <w:tab w:val="decimal" w:pos="8789"/>
        </w:tabs>
        <w:spacing w:after="120"/>
      </w:pPr>
      <w:r w:rsidRPr="00653ADF">
        <w:rPr>
          <w:i/>
          <w:sz w:val="18"/>
        </w:rPr>
        <w:t>Isječak iz bilance na dan 31.12.2020. god.</w:t>
      </w:r>
    </w:p>
    <w:p w:rsidR="003E1ABC" w:rsidRPr="00CD046F" w:rsidRDefault="00E138A3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CD046F">
        <w:rPr>
          <w:bCs/>
          <w:iCs/>
        </w:rPr>
        <w:t xml:space="preserve">Potraživanja za prihode poslovanja u odnosu na stanje 1. siječnja </w:t>
      </w:r>
      <w:r w:rsidR="007232FD">
        <w:rPr>
          <w:bCs/>
          <w:iCs/>
        </w:rPr>
        <w:t xml:space="preserve">značajno su </w:t>
      </w:r>
      <w:r w:rsidR="00CD046F" w:rsidRPr="00CD046F">
        <w:rPr>
          <w:bCs/>
          <w:iCs/>
        </w:rPr>
        <w:t>povećana</w:t>
      </w:r>
      <w:r w:rsidRPr="00CD046F">
        <w:rPr>
          <w:bCs/>
          <w:iCs/>
        </w:rPr>
        <w:t xml:space="preserve"> </w:t>
      </w:r>
      <w:r w:rsidR="002D59CC" w:rsidRPr="00CD046F">
        <w:rPr>
          <w:bCs/>
          <w:iCs/>
        </w:rPr>
        <w:t xml:space="preserve">uslijed </w:t>
      </w:r>
      <w:r w:rsidR="00CD046F" w:rsidRPr="00CD046F">
        <w:rPr>
          <w:bCs/>
          <w:iCs/>
        </w:rPr>
        <w:t>lošije</w:t>
      </w:r>
      <w:r w:rsidR="00556605" w:rsidRPr="00CD046F">
        <w:rPr>
          <w:bCs/>
          <w:iCs/>
        </w:rPr>
        <w:t xml:space="preserve"> </w:t>
      </w:r>
      <w:r w:rsidR="002D59CC" w:rsidRPr="00CD046F">
        <w:rPr>
          <w:bCs/>
          <w:iCs/>
        </w:rPr>
        <w:t xml:space="preserve">naplate </w:t>
      </w:r>
      <w:r w:rsidRPr="00CD046F">
        <w:rPr>
          <w:bCs/>
          <w:iCs/>
        </w:rPr>
        <w:t xml:space="preserve"> </w:t>
      </w:r>
      <w:r w:rsidR="003E1ABC" w:rsidRPr="00CD046F">
        <w:rPr>
          <w:bCs/>
          <w:iCs/>
        </w:rPr>
        <w:t xml:space="preserve">potraživanja prihoda </w:t>
      </w:r>
      <w:r w:rsidR="007232FD">
        <w:rPr>
          <w:bCs/>
          <w:iCs/>
        </w:rPr>
        <w:t>iz proračuna, prihoda od prodaje robe,</w:t>
      </w:r>
      <w:r w:rsidR="00556605" w:rsidRPr="00CD046F">
        <w:rPr>
          <w:bCs/>
          <w:iCs/>
        </w:rPr>
        <w:t xml:space="preserve"> pruženih usluga</w:t>
      </w:r>
      <w:r w:rsidR="007232FD">
        <w:rPr>
          <w:bCs/>
          <w:iCs/>
        </w:rPr>
        <w:t>, a</w:t>
      </w:r>
      <w:r w:rsidR="00556605" w:rsidRPr="00CD046F">
        <w:rPr>
          <w:bCs/>
          <w:iCs/>
        </w:rPr>
        <w:t xml:space="preserve"> u najvećoj mjeri prihoda </w:t>
      </w:r>
      <w:r w:rsidR="003E1ABC" w:rsidRPr="00CD046F">
        <w:rPr>
          <w:bCs/>
          <w:iCs/>
        </w:rPr>
        <w:t>po posebnim propisima (dopunsko zdravstveno osiguranje, sudjelovanje u cijeni zdravstvenih usluga i sl.)</w:t>
      </w:r>
      <w:r w:rsidR="00556605" w:rsidRPr="00CD046F">
        <w:rPr>
          <w:bCs/>
          <w:iCs/>
        </w:rPr>
        <w:t>.</w:t>
      </w:r>
    </w:p>
    <w:p w:rsidR="003E1ABC" w:rsidRPr="00CD046F" w:rsidRDefault="003E1ABC" w:rsidP="00D72FBB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CD046F">
        <w:rPr>
          <w:bCs/>
          <w:iCs/>
        </w:rPr>
        <w:t>Ustanova je temeljem Zapisnika o usklađenju pristiglog od strane HZZO-a umanjila svoja potraživanja za fakturu preko ugovorenog limita u ukupnom iznosu od</w:t>
      </w:r>
      <w:r w:rsidR="00232784" w:rsidRPr="00CD046F">
        <w:rPr>
          <w:bCs/>
          <w:iCs/>
        </w:rPr>
        <w:t xml:space="preserve"> </w:t>
      </w:r>
      <w:r w:rsidR="00CD046F" w:rsidRPr="00CD046F">
        <w:rPr>
          <w:bCs/>
          <w:iCs/>
        </w:rPr>
        <w:t xml:space="preserve">2.448.556,30 </w:t>
      </w:r>
      <w:r w:rsidR="007232FD">
        <w:rPr>
          <w:bCs/>
          <w:iCs/>
          <w:sz w:val="20"/>
        </w:rPr>
        <w:t>kuna</w:t>
      </w:r>
      <w:r w:rsidRPr="00CD046F">
        <w:rPr>
          <w:bCs/>
          <w:iCs/>
        </w:rPr>
        <w:t xml:space="preserve">. </w:t>
      </w:r>
      <w:r w:rsidR="00E138A3" w:rsidRPr="00CD046F">
        <w:rPr>
          <w:bCs/>
          <w:iCs/>
        </w:rPr>
        <w:t>Ukupna nenaplaćena dospjela i nedospjel</w:t>
      </w:r>
      <w:r w:rsidR="00656525">
        <w:rPr>
          <w:bCs/>
          <w:iCs/>
        </w:rPr>
        <w:t>a</w:t>
      </w:r>
      <w:r w:rsidR="00E138A3" w:rsidRPr="00CD046F">
        <w:rPr>
          <w:bCs/>
          <w:iCs/>
        </w:rPr>
        <w:t xml:space="preserve"> potraživanja od strane HZZO-a, temeljem</w:t>
      </w:r>
      <w:r w:rsidR="007232FD">
        <w:rPr>
          <w:bCs/>
          <w:iCs/>
        </w:rPr>
        <w:t xml:space="preserve"> zapisnika o usklađenju</w:t>
      </w:r>
      <w:r w:rsidR="00CD046F" w:rsidRPr="00CD046F">
        <w:rPr>
          <w:bCs/>
          <w:iCs/>
        </w:rPr>
        <w:t xml:space="preserve"> iznose </w:t>
      </w:r>
      <w:r w:rsidR="00CD046F" w:rsidRPr="00CD046F">
        <w:rPr>
          <w:b/>
          <w:bCs/>
          <w:iCs/>
        </w:rPr>
        <w:t>13.385.314,00 kuna</w:t>
      </w:r>
      <w:r w:rsidR="00CD046F" w:rsidRPr="00CD046F">
        <w:rPr>
          <w:bCs/>
          <w:iCs/>
        </w:rPr>
        <w:t xml:space="preserve"> dok su prethodne godine ista iznosila </w:t>
      </w:r>
      <w:r w:rsidR="00E138A3" w:rsidRPr="00CD046F">
        <w:rPr>
          <w:bCs/>
          <w:iCs/>
        </w:rPr>
        <w:t xml:space="preserve"> </w:t>
      </w:r>
      <w:r w:rsidR="00232784" w:rsidRPr="00CD046F">
        <w:rPr>
          <w:bCs/>
          <w:iCs/>
        </w:rPr>
        <w:t xml:space="preserve">6.788.079,58 </w:t>
      </w:r>
      <w:r w:rsidR="00E138A3" w:rsidRPr="00CD046F">
        <w:rPr>
          <w:bCs/>
          <w:iCs/>
        </w:rPr>
        <w:t>kuna</w:t>
      </w:r>
      <w:r w:rsidR="00CD046F" w:rsidRPr="00CD046F">
        <w:rPr>
          <w:bCs/>
          <w:iCs/>
        </w:rPr>
        <w:t>.</w:t>
      </w:r>
    </w:p>
    <w:p w:rsidR="00232784" w:rsidRPr="00CD046F" w:rsidRDefault="00232784">
      <w:pPr>
        <w:jc w:val="left"/>
        <w:rPr>
          <w:bCs/>
          <w:iCs/>
        </w:rPr>
      </w:pPr>
      <w:r w:rsidRPr="00CD046F">
        <w:rPr>
          <w:bCs/>
          <w:iCs/>
        </w:rPr>
        <w:br w:type="page"/>
      </w:r>
    </w:p>
    <w:p w:rsidR="00E138A3" w:rsidRPr="00653ADF" w:rsidRDefault="00E138A3" w:rsidP="00E138A3">
      <w:pPr>
        <w:pBdr>
          <w:top w:val="dotted" w:sz="4" w:space="1" w:color="6B261B" w:themeColor="accent2" w:themeShade="7F"/>
          <w:bottom w:val="dotted" w:sz="4" w:space="1" w:color="6B261B" w:themeColor="accent2" w:themeShade="7F"/>
        </w:pBdr>
        <w:spacing w:before="300"/>
        <w:jc w:val="center"/>
        <w:outlineLvl w:val="2"/>
        <w:rPr>
          <w:b/>
          <w:caps/>
          <w:color w:val="42402C" w:themeColor="accent4" w:themeShade="80"/>
          <w:sz w:val="24"/>
          <w:szCs w:val="24"/>
        </w:rPr>
      </w:pPr>
      <w:r w:rsidRPr="00653ADF">
        <w:rPr>
          <w:b/>
          <w:caps/>
          <w:color w:val="42402C" w:themeColor="accent4" w:themeShade="80"/>
          <w:sz w:val="24"/>
          <w:szCs w:val="24"/>
        </w:rPr>
        <w:lastRenderedPageBreak/>
        <w:t>oBVEZE I VLASTITI IZVORI</w:t>
      </w:r>
    </w:p>
    <w:p w:rsidR="00E138A3" w:rsidRPr="00653ADF" w:rsidRDefault="00E138A3" w:rsidP="00E138A3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ind w:left="357" w:hanging="357"/>
        <w:contextualSpacing/>
        <w:rPr>
          <w:b/>
          <w:color w:val="42402C" w:themeColor="accent4" w:themeShade="80"/>
          <w:u w:val="single"/>
        </w:rPr>
      </w:pPr>
      <w:r w:rsidRPr="00653ADF">
        <w:rPr>
          <w:b/>
          <w:color w:val="42402C" w:themeColor="accent4" w:themeShade="80"/>
          <w:u w:val="single"/>
        </w:rPr>
        <w:t>AOP-163 – OBVEZE</w:t>
      </w:r>
      <w:r w:rsidRPr="00653ADF">
        <w:rPr>
          <w:b/>
          <w:color w:val="42402C" w:themeColor="accent4" w:themeShade="80"/>
          <w:u w:val="single"/>
        </w:rPr>
        <w:tab/>
        <w:t xml:space="preserve">indeks </w:t>
      </w:r>
      <w:r w:rsidR="00D72FBB" w:rsidRPr="00653ADF">
        <w:rPr>
          <w:b/>
          <w:color w:val="42402C" w:themeColor="accent4" w:themeShade="80"/>
          <w:u w:val="single"/>
        </w:rPr>
        <w:t>1</w:t>
      </w:r>
      <w:r w:rsidR="00653ADF">
        <w:rPr>
          <w:b/>
          <w:color w:val="42402C" w:themeColor="accent4" w:themeShade="80"/>
          <w:u w:val="single"/>
        </w:rPr>
        <w:t>36</w:t>
      </w:r>
      <w:r w:rsidR="00D72FBB" w:rsidRPr="00653ADF">
        <w:rPr>
          <w:b/>
          <w:color w:val="42402C" w:themeColor="accent4" w:themeShade="80"/>
          <w:u w:val="single"/>
        </w:rPr>
        <w:t>,</w:t>
      </w:r>
      <w:r w:rsidR="00653ADF">
        <w:rPr>
          <w:b/>
          <w:color w:val="42402C" w:themeColor="accent4" w:themeShade="80"/>
          <w:u w:val="single"/>
        </w:rPr>
        <w:t>4</w:t>
      </w:r>
    </w:p>
    <w:p w:rsidR="00E138A3" w:rsidRPr="00653ADF" w:rsidRDefault="00653ADF" w:rsidP="00DD045A">
      <w:pPr>
        <w:tabs>
          <w:tab w:val="decimal" w:pos="8789"/>
        </w:tabs>
        <w:spacing w:before="240" w:after="120" w:line="240" w:lineRule="auto"/>
        <w:ind w:left="357"/>
        <w:contextualSpacing/>
        <w:jc w:val="center"/>
        <w:rPr>
          <w:b/>
          <w:color w:val="42402C" w:themeColor="accent4" w:themeShade="80"/>
          <w:u w:val="single"/>
        </w:rPr>
      </w:pPr>
      <w:r w:rsidRPr="00653ADF">
        <w:rPr>
          <w:noProof/>
          <w:lang w:eastAsia="hr-HR"/>
        </w:rPr>
        <w:drawing>
          <wp:inline distT="0" distB="0" distL="0" distR="0">
            <wp:extent cx="6645910" cy="2632674"/>
            <wp:effectExtent l="0" t="0" r="2540" b="0"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3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9" w:rsidRPr="00653ADF" w:rsidRDefault="00C76CF9" w:rsidP="00C76CF9">
      <w:pPr>
        <w:tabs>
          <w:tab w:val="decimal" w:pos="8789"/>
        </w:tabs>
        <w:spacing w:after="120"/>
      </w:pPr>
      <w:r w:rsidRPr="00653ADF">
        <w:rPr>
          <w:i/>
          <w:sz w:val="18"/>
        </w:rPr>
        <w:t>Isječak iz bilance na dan 31.12.2020. god.</w:t>
      </w:r>
    </w:p>
    <w:p w:rsidR="003E1ABC" w:rsidRPr="002D4017" w:rsidRDefault="003E1ABC" w:rsidP="00E138A3">
      <w:pPr>
        <w:tabs>
          <w:tab w:val="decimal" w:pos="8789"/>
        </w:tabs>
        <w:spacing w:after="0"/>
        <w:rPr>
          <w:highlight w:val="yellow"/>
        </w:rPr>
      </w:pPr>
    </w:p>
    <w:p w:rsidR="00E138A3" w:rsidRPr="00653ADF" w:rsidRDefault="00653ADF" w:rsidP="00E138A3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>
        <w:rPr>
          <w:b/>
          <w:color w:val="42402C" w:themeColor="accent4" w:themeShade="80"/>
          <w:u w:val="single"/>
        </w:rPr>
        <w:t>AOP-242</w:t>
      </w:r>
      <w:r w:rsidR="00E138A3" w:rsidRPr="00653ADF">
        <w:rPr>
          <w:b/>
          <w:color w:val="42402C" w:themeColor="accent4" w:themeShade="80"/>
          <w:u w:val="single"/>
        </w:rPr>
        <w:t>-</w:t>
      </w:r>
      <w:r>
        <w:rPr>
          <w:b/>
          <w:color w:val="42402C" w:themeColor="accent4" w:themeShade="80"/>
          <w:u w:val="single"/>
        </w:rPr>
        <w:t>245</w:t>
      </w:r>
      <w:r w:rsidR="00E138A3" w:rsidRPr="00653ADF">
        <w:rPr>
          <w:b/>
          <w:color w:val="42402C" w:themeColor="accent4" w:themeShade="80"/>
          <w:u w:val="single"/>
        </w:rPr>
        <w:t xml:space="preserve"> MANJAK PRIHODA</w:t>
      </w:r>
      <w:r w:rsidR="00E138A3" w:rsidRPr="00653ADF">
        <w:rPr>
          <w:b/>
          <w:color w:val="42402C" w:themeColor="accent4" w:themeShade="80"/>
          <w:u w:val="single"/>
        </w:rPr>
        <w:tab/>
        <w:t xml:space="preserve">indeks </w:t>
      </w:r>
      <w:r>
        <w:rPr>
          <w:b/>
          <w:color w:val="42402C" w:themeColor="accent4" w:themeShade="80"/>
          <w:u w:val="single"/>
        </w:rPr>
        <w:t>155</w:t>
      </w:r>
      <w:r w:rsidR="00A67E57" w:rsidRPr="00653ADF">
        <w:rPr>
          <w:b/>
          <w:color w:val="42402C" w:themeColor="accent4" w:themeShade="80"/>
          <w:u w:val="single"/>
        </w:rPr>
        <w:t>,8</w:t>
      </w:r>
    </w:p>
    <w:p w:rsidR="00E138A3" w:rsidRPr="00653ADF" w:rsidRDefault="00653ADF" w:rsidP="00E138A3">
      <w:pPr>
        <w:tabs>
          <w:tab w:val="decimal" w:pos="8789"/>
        </w:tabs>
        <w:spacing w:after="0"/>
        <w:jc w:val="center"/>
      </w:pPr>
      <w:r w:rsidRPr="00653ADF">
        <w:rPr>
          <w:noProof/>
          <w:lang w:eastAsia="hr-HR"/>
        </w:rPr>
        <w:drawing>
          <wp:inline distT="0" distB="0" distL="0" distR="0">
            <wp:extent cx="6645910" cy="1221395"/>
            <wp:effectExtent l="0" t="0" r="2540" b="0"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9" w:rsidRPr="00653ADF" w:rsidRDefault="00C76CF9" w:rsidP="00C76CF9">
      <w:pPr>
        <w:tabs>
          <w:tab w:val="decimal" w:pos="8789"/>
        </w:tabs>
        <w:spacing w:after="120"/>
      </w:pPr>
      <w:r w:rsidRPr="00653ADF">
        <w:rPr>
          <w:i/>
          <w:sz w:val="18"/>
        </w:rPr>
        <w:t>Isječak iz bilance na dan 31.12.2020. god.</w:t>
      </w:r>
    </w:p>
    <w:p w:rsidR="00E138A3" w:rsidRPr="00653ADF" w:rsidRDefault="00E138A3" w:rsidP="00E138A3">
      <w:pPr>
        <w:tabs>
          <w:tab w:val="decimal" w:pos="8789"/>
        </w:tabs>
        <w:spacing w:after="120"/>
      </w:pPr>
      <w:r w:rsidRPr="00653ADF">
        <w:t xml:space="preserve">Kumulirani </w:t>
      </w:r>
      <w:r w:rsidR="00A67E57" w:rsidRPr="00653ADF">
        <w:t>manjak prihoda na dan 31.12.20</w:t>
      </w:r>
      <w:r w:rsidR="00653ADF" w:rsidRPr="00653ADF">
        <w:t>20</w:t>
      </w:r>
      <w:r w:rsidRPr="00653ADF">
        <w:t xml:space="preserve">. iznosi ukupno </w:t>
      </w:r>
      <w:r w:rsidR="00653ADF" w:rsidRPr="00653ADF">
        <w:t>111</w:t>
      </w:r>
      <w:r w:rsidR="00A67E57" w:rsidRPr="00653ADF">
        <w:t>.</w:t>
      </w:r>
      <w:r w:rsidR="00653ADF" w:rsidRPr="00653ADF">
        <w:t>968</w:t>
      </w:r>
      <w:r w:rsidR="00A67E57" w:rsidRPr="00653ADF">
        <w:t>.</w:t>
      </w:r>
      <w:r w:rsidR="00653ADF" w:rsidRPr="00653ADF">
        <w:t>672</w:t>
      </w:r>
      <w:r w:rsidRPr="00653ADF">
        <w:t>,00 kun</w:t>
      </w:r>
      <w:r w:rsidR="00653ADF" w:rsidRPr="00653ADF">
        <w:t>e</w:t>
      </w:r>
      <w:r w:rsidRPr="00653ADF">
        <w:t xml:space="preserve">, što predstavlja </w:t>
      </w:r>
      <w:r w:rsidR="00653ADF" w:rsidRPr="00653ADF">
        <w:t>povećanje od 55,80</w:t>
      </w:r>
      <w:r w:rsidR="001F6A8F" w:rsidRPr="00653ADF">
        <w:t xml:space="preserve">% </w:t>
      </w:r>
      <w:r w:rsidRPr="00653ADF">
        <w:t>u odnosu na</w:t>
      </w:r>
      <w:r w:rsidR="00C67D63" w:rsidRPr="00653ADF">
        <w:t xml:space="preserve"> početno stanje 01.</w:t>
      </w:r>
      <w:r w:rsidR="00A67E57" w:rsidRPr="00653ADF">
        <w:t xml:space="preserve"> </w:t>
      </w:r>
      <w:r w:rsidR="00C67D63" w:rsidRPr="00653ADF">
        <w:t>siječn</w:t>
      </w:r>
      <w:r w:rsidR="00A67E57" w:rsidRPr="00653ADF">
        <w:t>ja 20</w:t>
      </w:r>
      <w:r w:rsidR="00653ADF" w:rsidRPr="00653ADF">
        <w:t>20</w:t>
      </w:r>
      <w:r w:rsidRPr="00653ADF">
        <w:t>. godine.</w:t>
      </w:r>
      <w:r w:rsidR="001F6A8F" w:rsidRPr="00653ADF">
        <w:t xml:space="preserve"> Razlika je nastala zbog iskazivanja </w:t>
      </w:r>
      <w:r w:rsidR="00653ADF" w:rsidRPr="00653ADF">
        <w:t>manj</w:t>
      </w:r>
      <w:r w:rsidR="001F6A8F" w:rsidRPr="00653ADF">
        <w:t>ka prihoda nad rashodima za tekuću godinu u iznosu od</w:t>
      </w:r>
      <w:r w:rsidR="00653ADF" w:rsidRPr="00653ADF">
        <w:t xml:space="preserve"> 40.121.945</w:t>
      </w:r>
      <w:r w:rsidR="001F6A8F" w:rsidRPr="00653ADF">
        <w:t>,00 kuna.</w:t>
      </w:r>
    </w:p>
    <w:p w:rsidR="00CD046F" w:rsidRPr="00CD046F" w:rsidRDefault="00CD046F" w:rsidP="00E138A3">
      <w:pPr>
        <w:tabs>
          <w:tab w:val="decimal" w:pos="8789"/>
        </w:tabs>
        <w:spacing w:after="120"/>
      </w:pPr>
      <w:r w:rsidRPr="00CD046F">
        <w:t xml:space="preserve">Sukladno čl. </w:t>
      </w:r>
      <w:r w:rsidR="00C67D63" w:rsidRPr="00CD046F">
        <w:t>82.</w:t>
      </w:r>
      <w:r w:rsidR="00E138A3" w:rsidRPr="00CD046F">
        <w:t xml:space="preserve"> Pravilnika o proraču</w:t>
      </w:r>
      <w:r w:rsidR="00C67D63" w:rsidRPr="00CD046F">
        <w:t xml:space="preserve">nskom računovodstvu (NN </w:t>
      </w:r>
      <w:r w:rsidR="00A67E57" w:rsidRPr="00CD046F">
        <w:t>124/14, 115/15, 87/16, 3/18 i 126/19</w:t>
      </w:r>
      <w:r w:rsidR="00C67D63" w:rsidRPr="00CD046F">
        <w:t xml:space="preserve">) </w:t>
      </w:r>
      <w:r w:rsidR="00E138A3" w:rsidRPr="00CD046F">
        <w:t>izvršena je korekcija rezultata za utrošene kapitalne prijenose</w:t>
      </w:r>
      <w:r w:rsidR="007232FD">
        <w:t xml:space="preserve"> ostvarene</w:t>
      </w:r>
      <w:r w:rsidRPr="00CD046F">
        <w:t xml:space="preserve"> tijekom proračunske godine koji su utrošeni za nabavku nefinancijske imovine</w:t>
      </w:r>
      <w:r w:rsidR="00E138A3" w:rsidRPr="00CD046F">
        <w:t xml:space="preserve"> </w:t>
      </w:r>
      <w:r w:rsidR="00E138A3" w:rsidRPr="00CD046F">
        <w:rPr>
          <w:color w:val="000000" w:themeColor="text1"/>
        </w:rPr>
        <w:t xml:space="preserve">u iznosu od </w:t>
      </w:r>
      <w:r w:rsidRPr="00CD046F">
        <w:rPr>
          <w:color w:val="000000" w:themeColor="text1"/>
        </w:rPr>
        <w:t>37.380.164,00</w:t>
      </w:r>
      <w:r w:rsidR="001F6A8F" w:rsidRPr="00CD046F">
        <w:rPr>
          <w:color w:val="000000" w:themeColor="text1"/>
        </w:rPr>
        <w:t xml:space="preserve"> </w:t>
      </w:r>
      <w:r w:rsidR="00DF1FF1">
        <w:rPr>
          <w:color w:val="000000" w:themeColor="text1"/>
        </w:rPr>
        <w:t xml:space="preserve">kuna, </w:t>
      </w:r>
      <w:r w:rsidR="007232FD">
        <w:rPr>
          <w:color w:val="000000" w:themeColor="text1"/>
        </w:rPr>
        <w:t>također,</w:t>
      </w:r>
      <w:r w:rsidR="007232FD">
        <w:t xml:space="preserve"> </w:t>
      </w:r>
      <w:r w:rsidR="00DF1FF1">
        <w:t xml:space="preserve">za iznose prihoda od nefinancijske imovine koji su tijekom godine utrošeni za financiranje rashoda poslovanja u iznosu od 13.163,00 kune. Sukladno navedenom </w:t>
      </w:r>
      <w:r w:rsidR="00DF1FF1" w:rsidRPr="00CD046F">
        <w:rPr>
          <w:color w:val="000000" w:themeColor="text1"/>
        </w:rPr>
        <w:t xml:space="preserve">postoji </w:t>
      </w:r>
      <w:r w:rsidR="00DF1FF1" w:rsidRPr="00CD046F">
        <w:t>odstupanje od iskazanih pozicija u obrascu PR-RAS i Bilanci.</w:t>
      </w:r>
    </w:p>
    <w:p w:rsidR="00E138A3" w:rsidRPr="00042A54" w:rsidRDefault="00042A54" w:rsidP="00E138A3">
      <w:pPr>
        <w:numPr>
          <w:ilvl w:val="0"/>
          <w:numId w:val="2"/>
        </w:numPr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 w:rsidRPr="00042A54">
        <w:rPr>
          <w:b/>
          <w:color w:val="42402C" w:themeColor="accent4" w:themeShade="80"/>
          <w:u w:val="single"/>
        </w:rPr>
        <w:t>AOP- 250-251</w:t>
      </w:r>
      <w:r w:rsidR="00E138A3" w:rsidRPr="00042A54">
        <w:rPr>
          <w:b/>
          <w:color w:val="42402C" w:themeColor="accent4" w:themeShade="80"/>
          <w:u w:val="single"/>
        </w:rPr>
        <w:t xml:space="preserve"> IZVANBILANČNI ZAPISI</w:t>
      </w:r>
      <w:r w:rsidR="00E138A3" w:rsidRPr="00042A54">
        <w:rPr>
          <w:b/>
          <w:color w:val="42402C" w:themeColor="accent4" w:themeShade="80"/>
          <w:u w:val="single"/>
        </w:rPr>
        <w:tab/>
      </w:r>
      <w:r w:rsidR="00E138A3" w:rsidRPr="00042A54">
        <w:rPr>
          <w:b/>
          <w:color w:val="42402C" w:themeColor="accent4" w:themeShade="80"/>
          <w:u w:val="single"/>
        </w:rPr>
        <w:tab/>
      </w:r>
      <w:r w:rsidR="00E138A3" w:rsidRPr="00042A54">
        <w:rPr>
          <w:b/>
          <w:color w:val="42402C" w:themeColor="accent4" w:themeShade="80"/>
          <w:u w:val="single"/>
        </w:rPr>
        <w:tab/>
      </w:r>
      <w:r w:rsidR="00E138A3" w:rsidRPr="00042A54">
        <w:rPr>
          <w:b/>
          <w:color w:val="42402C" w:themeColor="accent4" w:themeShade="80"/>
          <w:u w:val="single"/>
        </w:rPr>
        <w:tab/>
      </w:r>
      <w:r w:rsidR="00E138A3" w:rsidRPr="00042A54">
        <w:rPr>
          <w:b/>
          <w:color w:val="42402C" w:themeColor="accent4" w:themeShade="80"/>
          <w:u w:val="single"/>
        </w:rPr>
        <w:tab/>
      </w:r>
      <w:r w:rsidR="00E138A3" w:rsidRPr="00042A54">
        <w:rPr>
          <w:b/>
          <w:color w:val="42402C" w:themeColor="accent4" w:themeShade="80"/>
          <w:u w:val="single"/>
        </w:rPr>
        <w:tab/>
        <w:t xml:space="preserve">Indeks </w:t>
      </w:r>
      <w:r w:rsidR="00A67E57" w:rsidRPr="00042A54">
        <w:rPr>
          <w:b/>
          <w:color w:val="42402C" w:themeColor="accent4" w:themeShade="80"/>
          <w:u w:val="single"/>
        </w:rPr>
        <w:t>334,8</w:t>
      </w:r>
      <w:r w:rsidR="00E138A3" w:rsidRPr="00042A54">
        <w:rPr>
          <w:b/>
          <w:color w:val="42402C" w:themeColor="accent4" w:themeShade="80"/>
          <w:u w:val="single"/>
        </w:rPr>
        <w:t xml:space="preserve"> </w:t>
      </w:r>
    </w:p>
    <w:p w:rsidR="00E138A3" w:rsidRPr="00042A54" w:rsidRDefault="00042A54" w:rsidP="00E138A3">
      <w:pPr>
        <w:spacing w:after="0"/>
        <w:jc w:val="center"/>
        <w:rPr>
          <w:i/>
          <w:sz w:val="18"/>
        </w:rPr>
      </w:pPr>
      <w:r w:rsidRPr="00042A54">
        <w:rPr>
          <w:noProof/>
          <w:lang w:eastAsia="hr-HR"/>
        </w:rPr>
        <w:drawing>
          <wp:inline distT="0" distB="0" distL="0" distR="0">
            <wp:extent cx="6645910" cy="887424"/>
            <wp:effectExtent l="0" t="0" r="2540" b="8255"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F9" w:rsidRPr="00042A54" w:rsidRDefault="00C76CF9" w:rsidP="00C76CF9">
      <w:pPr>
        <w:tabs>
          <w:tab w:val="decimal" w:pos="8789"/>
        </w:tabs>
        <w:spacing w:after="120"/>
      </w:pPr>
      <w:r w:rsidRPr="00042A54">
        <w:rPr>
          <w:i/>
          <w:sz w:val="18"/>
        </w:rPr>
        <w:t>Isječak iz bilance na dan 31.12.2020. god.</w:t>
      </w:r>
    </w:p>
    <w:p w:rsidR="008D7C7B" w:rsidRPr="00042A54" w:rsidRDefault="008D7C7B" w:rsidP="00E138A3">
      <w:pPr>
        <w:tabs>
          <w:tab w:val="decimal" w:pos="8789"/>
        </w:tabs>
        <w:spacing w:after="0"/>
      </w:pPr>
      <w:r w:rsidRPr="00042A54">
        <w:t>Ukupan iznos od</w:t>
      </w:r>
      <w:r w:rsidR="00042A54">
        <w:t xml:space="preserve"> 34.647</w:t>
      </w:r>
      <w:r w:rsidRPr="00042A54">
        <w:t>.</w:t>
      </w:r>
      <w:r w:rsidR="00042A54">
        <w:t>721</w:t>
      </w:r>
      <w:r w:rsidRPr="00042A54">
        <w:t>,00 kun</w:t>
      </w:r>
      <w:r w:rsidR="00042A54">
        <w:t>u</w:t>
      </w:r>
      <w:r w:rsidRPr="00042A54">
        <w:t xml:space="preserve"> odnosi se na:</w:t>
      </w:r>
    </w:p>
    <w:p w:rsidR="008D7C7B" w:rsidRPr="00DF1FF1" w:rsidRDefault="008D7C7B" w:rsidP="008D7C7B">
      <w:pPr>
        <w:pStyle w:val="ListParagraph"/>
        <w:numPr>
          <w:ilvl w:val="0"/>
          <w:numId w:val="24"/>
        </w:numPr>
        <w:tabs>
          <w:tab w:val="decimal" w:pos="8789"/>
        </w:tabs>
        <w:spacing w:before="0" w:after="0"/>
        <w:rPr>
          <w:b w:val="0"/>
          <w:color w:val="auto"/>
          <w:u w:val="none"/>
        </w:rPr>
      </w:pPr>
      <w:r w:rsidRPr="00DF1FF1">
        <w:rPr>
          <w:b w:val="0"/>
          <w:color w:val="auto"/>
          <w:u w:val="none"/>
        </w:rPr>
        <w:t>Evidentiran iznos od 3.762.445,62 kuna odnosi se na zaprimljenu bankovnu garanciju za uredno izvršenje Ugovora za gradnju Zgrade dnevnih bolnica.</w:t>
      </w:r>
    </w:p>
    <w:p w:rsidR="008D7C7B" w:rsidRPr="00DF1FF1" w:rsidRDefault="008D7C7B" w:rsidP="008D7C7B">
      <w:pPr>
        <w:pStyle w:val="ListParagraph"/>
        <w:numPr>
          <w:ilvl w:val="0"/>
          <w:numId w:val="24"/>
        </w:numPr>
        <w:tabs>
          <w:tab w:val="decimal" w:pos="8789"/>
        </w:tabs>
        <w:spacing w:before="0" w:after="0"/>
        <w:rPr>
          <w:b w:val="0"/>
          <w:color w:val="auto"/>
          <w:u w:val="none"/>
        </w:rPr>
      </w:pPr>
      <w:r w:rsidRPr="00DF1FF1">
        <w:rPr>
          <w:b w:val="0"/>
          <w:color w:val="auto"/>
          <w:u w:val="none"/>
        </w:rPr>
        <w:t>Evidentiran iznos nabavne vrijednosti uređaja za snimanje Magnetskom rezonancom dobivenom na korištenje od strane Ministarstva zdravstva</w:t>
      </w:r>
      <w:r w:rsidR="00DF1FF1">
        <w:rPr>
          <w:b w:val="0"/>
          <w:color w:val="auto"/>
          <w:u w:val="none"/>
        </w:rPr>
        <w:t xml:space="preserve"> u ukupnom iznosu od 7.145.000,00 kuna</w:t>
      </w:r>
      <w:r w:rsidRPr="00DF1FF1">
        <w:rPr>
          <w:b w:val="0"/>
          <w:color w:val="auto"/>
          <w:u w:val="none"/>
        </w:rPr>
        <w:t xml:space="preserve">. Odlukom o prijenosu </w:t>
      </w:r>
      <w:r w:rsidR="00E228AA" w:rsidRPr="00DF1FF1">
        <w:rPr>
          <w:b w:val="0"/>
          <w:color w:val="auto"/>
          <w:u w:val="none"/>
        </w:rPr>
        <w:t>vlasništva navedenim iznosom uvećati će se vrijednost dugotrajne materijalne imovine.</w:t>
      </w:r>
    </w:p>
    <w:p w:rsidR="00042A54" w:rsidRPr="00DF1FF1" w:rsidRDefault="00042A54" w:rsidP="008D7C7B">
      <w:pPr>
        <w:pStyle w:val="ListParagraph"/>
        <w:numPr>
          <w:ilvl w:val="0"/>
          <w:numId w:val="24"/>
        </w:numPr>
        <w:tabs>
          <w:tab w:val="decimal" w:pos="8789"/>
        </w:tabs>
        <w:spacing w:before="0" w:after="0"/>
        <w:rPr>
          <w:b w:val="0"/>
          <w:color w:val="auto"/>
          <w:u w:val="none"/>
        </w:rPr>
      </w:pPr>
      <w:r w:rsidRPr="00DF1FF1">
        <w:rPr>
          <w:b w:val="0"/>
          <w:color w:val="auto"/>
          <w:u w:val="none"/>
        </w:rPr>
        <w:lastRenderedPageBreak/>
        <w:t>Evidentirana sredstva za sistematske preglede za Odjel laboratorijske dijagno</w:t>
      </w:r>
      <w:r w:rsidR="00DF1FF1">
        <w:rPr>
          <w:b w:val="0"/>
          <w:color w:val="auto"/>
          <w:u w:val="none"/>
        </w:rPr>
        <w:t xml:space="preserve">stike u iznosu od 23.417,44 </w:t>
      </w:r>
      <w:r w:rsidR="007A13C8" w:rsidRPr="00DF1FF1">
        <w:rPr>
          <w:b w:val="0"/>
          <w:color w:val="auto"/>
          <w:u w:val="none"/>
        </w:rPr>
        <w:t>kuna</w:t>
      </w:r>
      <w:r w:rsidR="00DF1FF1">
        <w:rPr>
          <w:b w:val="0"/>
          <w:color w:val="auto"/>
          <w:u w:val="none"/>
        </w:rPr>
        <w:t>,</w:t>
      </w:r>
    </w:p>
    <w:p w:rsidR="00042A54" w:rsidRDefault="00042A54" w:rsidP="008D7C7B">
      <w:pPr>
        <w:pStyle w:val="ListParagraph"/>
        <w:numPr>
          <w:ilvl w:val="0"/>
          <w:numId w:val="24"/>
        </w:numPr>
        <w:tabs>
          <w:tab w:val="decimal" w:pos="8789"/>
        </w:tabs>
        <w:spacing w:before="0" w:after="0"/>
        <w:rPr>
          <w:b w:val="0"/>
          <w:color w:val="auto"/>
          <w:u w:val="none"/>
        </w:rPr>
      </w:pPr>
      <w:r w:rsidRPr="00DF1FF1">
        <w:rPr>
          <w:b w:val="0"/>
          <w:color w:val="auto"/>
          <w:u w:val="none"/>
        </w:rPr>
        <w:t xml:space="preserve">Evidentirana sredstva za klinička ispitivanja namijenjena edukaciji zdravstvenih djelatnika u iznosu od 3.000,00 </w:t>
      </w:r>
      <w:r w:rsidR="007A13C8" w:rsidRPr="00DF1FF1">
        <w:rPr>
          <w:b w:val="0"/>
          <w:color w:val="auto"/>
          <w:u w:val="none"/>
        </w:rPr>
        <w:t>kuna</w:t>
      </w:r>
      <w:r w:rsidRPr="00DF1FF1">
        <w:rPr>
          <w:b w:val="0"/>
          <w:color w:val="auto"/>
          <w:u w:val="none"/>
        </w:rPr>
        <w:t>.</w:t>
      </w:r>
    </w:p>
    <w:p w:rsidR="00DF1FF1" w:rsidRPr="00DF1FF1" w:rsidRDefault="00DF1FF1" w:rsidP="00DF1FF1">
      <w:pPr>
        <w:pStyle w:val="ListParagraph"/>
        <w:numPr>
          <w:ilvl w:val="0"/>
          <w:numId w:val="24"/>
        </w:numPr>
        <w:rPr>
          <w:b w:val="0"/>
          <w:color w:val="auto"/>
          <w:u w:val="none"/>
        </w:rPr>
      </w:pPr>
      <w:r w:rsidRPr="00DF1FF1">
        <w:rPr>
          <w:b w:val="0"/>
          <w:color w:val="auto"/>
          <w:u w:val="none"/>
        </w:rPr>
        <w:t xml:space="preserve">Evidentiran iznos od 23.713.857,95 kuna se odnosi na iznos pokrenutih sudskih sporova u tijeku. </w:t>
      </w:r>
    </w:p>
    <w:p w:rsidR="008F108D" w:rsidRPr="0076056B" w:rsidRDefault="008F108D" w:rsidP="00E138A3">
      <w:pPr>
        <w:tabs>
          <w:tab w:val="decimal" w:pos="8789"/>
        </w:tabs>
        <w:spacing w:after="0"/>
      </w:pPr>
      <w:r w:rsidRPr="0076056B">
        <w:t xml:space="preserve">Sukladno čl. 14. Pravilnika o financijskom izvještavanju u proračunskom računovodstvu („Narodne novine“, </w:t>
      </w:r>
      <w:r w:rsidR="00A67E57" w:rsidRPr="0076056B">
        <w:t>03/15, 93/15, 135/1</w:t>
      </w:r>
      <w:r w:rsidR="00C76CF9" w:rsidRPr="0076056B">
        <w:t>5, 2/17, 28/17, 112/18,</w:t>
      </w:r>
      <w:r w:rsidR="00A67E57" w:rsidRPr="0076056B">
        <w:t xml:space="preserve"> 126/19</w:t>
      </w:r>
      <w:r w:rsidR="00C76CF9" w:rsidRPr="0076056B">
        <w:t xml:space="preserve"> i 108/20</w:t>
      </w:r>
      <w:r w:rsidRPr="0076056B">
        <w:t>) u donjoj tablici prilaže se popis sudskih sporova u tijeku.</w:t>
      </w:r>
    </w:p>
    <w:p w:rsidR="00B530CB" w:rsidRPr="00A57A89" w:rsidRDefault="00B530CB" w:rsidP="00E138A3">
      <w:pPr>
        <w:tabs>
          <w:tab w:val="decimal" w:pos="8789"/>
        </w:tabs>
        <w:spacing w:after="0"/>
        <w:rPr>
          <w:highlight w:val="yellow"/>
        </w:rPr>
      </w:pPr>
    </w:p>
    <w:tbl>
      <w:tblPr>
        <w:tblW w:w="8938" w:type="dxa"/>
        <w:jc w:val="center"/>
        <w:tblLook w:val="04A0"/>
      </w:tblPr>
      <w:tblGrid>
        <w:gridCol w:w="671"/>
        <w:gridCol w:w="2054"/>
        <w:gridCol w:w="1994"/>
        <w:gridCol w:w="1993"/>
        <w:gridCol w:w="2226"/>
      </w:tblGrid>
      <w:tr w:rsidR="00B530CB" w:rsidRPr="00B530CB" w:rsidTr="0076056B">
        <w:trPr>
          <w:trHeight w:val="6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530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Red. Br.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530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Poslovni broj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530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Opis prirode spora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530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procijenjeno vrijeme odljeva ili priljeva sredstava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530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Procjena financijskog učinka koji može proisteći iz sudskog spora kao obveza ili imovina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P-961/11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195.000,00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P-2264/11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496.000,00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P-1183/02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411.012,61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P-633/06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416.500,00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P/294/10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1.766.544,37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P-4227/09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1.044.400,00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P-1025/13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200.000,00    </w:t>
            </w:r>
          </w:p>
        </w:tc>
      </w:tr>
      <w:tr w:rsidR="00B530CB" w:rsidRPr="00B530CB" w:rsidTr="0076056B">
        <w:trPr>
          <w:trHeight w:val="466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P-426/11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90.000,00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Pn-59/15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512.923,33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Pn-200/2017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560.177,00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Pn-164/17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229.123,35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57-Pn-88/16 88/16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89.784,00    </w:t>
            </w:r>
          </w:p>
        </w:tc>
      </w:tr>
      <w:tr w:rsidR="00B530CB" w:rsidRPr="00B530CB" w:rsidTr="0076056B">
        <w:trPr>
          <w:trHeight w:val="466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Pn-1974/17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80.500,00    </w:t>
            </w:r>
          </w:p>
        </w:tc>
      </w:tr>
      <w:tr w:rsidR="00B530CB" w:rsidRPr="00B530CB" w:rsidTr="0076056B">
        <w:trPr>
          <w:trHeight w:val="466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Pr-6/17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10.001,00    </w:t>
            </w:r>
          </w:p>
        </w:tc>
      </w:tr>
      <w:tr w:rsidR="00B530CB" w:rsidRPr="00B530CB" w:rsidTr="0076056B">
        <w:trPr>
          <w:trHeight w:val="466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P-195/17-3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350.000,00    </w:t>
            </w:r>
          </w:p>
        </w:tc>
      </w:tr>
      <w:tr w:rsidR="00B530CB" w:rsidRPr="00B530CB" w:rsidTr="0076056B">
        <w:trPr>
          <w:trHeight w:val="699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Pp 11 g-732/17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300.000,00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Uslrs-97/18-2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10.000,01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Pn-27/18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spor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701.353,09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Pr-31/18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spor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10.000,00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Pr-39/18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spor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60.694,03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P-2264/11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51.230,00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P-4227/09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675.600,00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P-426/11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180.000,00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P-2203/18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spor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10.000,00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Pr-114/18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spor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 40.250,00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Pr-94/19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spor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158.000,00    </w:t>
            </w:r>
          </w:p>
        </w:tc>
      </w:tr>
      <w:tr w:rsidR="00B530CB" w:rsidRPr="00B530CB" w:rsidTr="0076056B">
        <w:trPr>
          <w:trHeight w:val="291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28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P-11331/19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spor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520.000,00    </w:t>
            </w:r>
          </w:p>
        </w:tc>
      </w:tr>
      <w:tr w:rsidR="00B530CB" w:rsidRPr="00B530CB" w:rsidTr="0076056B">
        <w:trPr>
          <w:trHeight w:val="109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P-10/15 (RAZLIKA)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76056B" w:rsidP="00760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       </w:t>
            </w:r>
            <w:r w:rsidR="00B530CB"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2.730.370,96    </w:t>
            </w:r>
          </w:p>
        </w:tc>
      </w:tr>
      <w:tr w:rsidR="00B530CB" w:rsidRPr="00B530CB" w:rsidTr="0076056B">
        <w:trPr>
          <w:trHeight w:val="699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sporovi vezani za dodatke na prekovremeni rad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Radni spor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2021. - 2022.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0CB" w:rsidRPr="00B530CB" w:rsidRDefault="00B530CB" w:rsidP="00B530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530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       11.814.394,00    </w:t>
            </w:r>
          </w:p>
        </w:tc>
      </w:tr>
      <w:tr w:rsidR="00B530CB" w:rsidRPr="00B530CB" w:rsidTr="0076056B">
        <w:trPr>
          <w:trHeight w:val="218"/>
          <w:jc w:val="center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CB" w:rsidRPr="00B530CB" w:rsidRDefault="00B530CB" w:rsidP="00B5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3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CB" w:rsidRPr="00B530CB" w:rsidRDefault="00B530CB" w:rsidP="00760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53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CB" w:rsidRPr="00B530CB" w:rsidRDefault="0076056B" w:rsidP="007605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23.713.857,9</w:t>
            </w:r>
            <w:r w:rsidR="00B530CB" w:rsidRPr="00B530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5    </w:t>
            </w:r>
          </w:p>
        </w:tc>
      </w:tr>
    </w:tbl>
    <w:p w:rsidR="008F108D" w:rsidRPr="00A57A89" w:rsidRDefault="008F108D" w:rsidP="00B73E8A">
      <w:pPr>
        <w:tabs>
          <w:tab w:val="decimal" w:pos="8789"/>
        </w:tabs>
        <w:spacing w:after="0"/>
        <w:jc w:val="center"/>
        <w:rPr>
          <w:highlight w:val="yellow"/>
        </w:rPr>
      </w:pPr>
    </w:p>
    <w:p w:rsidR="00F262F1" w:rsidRDefault="00F262F1" w:rsidP="00F262F1">
      <w:pPr>
        <w:tabs>
          <w:tab w:val="decimal" w:pos="8789"/>
        </w:tabs>
        <w:spacing w:after="0"/>
        <w:rPr>
          <w:i/>
          <w:sz w:val="18"/>
        </w:rPr>
      </w:pPr>
      <w:r w:rsidRPr="00B54536">
        <w:rPr>
          <w:i/>
          <w:sz w:val="18"/>
        </w:rPr>
        <w:t>Popis sudskih sp</w:t>
      </w:r>
      <w:r w:rsidR="00A67E57" w:rsidRPr="00B54536">
        <w:rPr>
          <w:i/>
          <w:sz w:val="18"/>
        </w:rPr>
        <w:t>orova u tijeku na dan 31.12.20</w:t>
      </w:r>
      <w:r w:rsidR="00C76CF9" w:rsidRPr="00B54536">
        <w:rPr>
          <w:i/>
          <w:sz w:val="18"/>
        </w:rPr>
        <w:t>20</w:t>
      </w:r>
      <w:r w:rsidRPr="00B54536">
        <w:rPr>
          <w:i/>
          <w:sz w:val="18"/>
        </w:rPr>
        <w:t>. god.</w:t>
      </w:r>
    </w:p>
    <w:p w:rsidR="00C67D63" w:rsidRPr="00E138A3" w:rsidRDefault="00C67D63" w:rsidP="00E138A3">
      <w:pPr>
        <w:tabs>
          <w:tab w:val="decimal" w:pos="8789"/>
        </w:tabs>
        <w:spacing w:after="0"/>
      </w:pPr>
    </w:p>
    <w:p w:rsidR="00E138A3" w:rsidRPr="00E138A3" w:rsidRDefault="00E138A3" w:rsidP="00E138A3">
      <w:pPr>
        <w:pBdr>
          <w:top w:val="dotted" w:sz="4" w:space="1" w:color="6B261B" w:themeColor="accent2" w:themeShade="7F"/>
          <w:bottom w:val="dotted" w:sz="4" w:space="1" w:color="6B261B" w:themeColor="accent2" w:themeShade="7F"/>
        </w:pBdr>
        <w:spacing w:before="300"/>
        <w:jc w:val="left"/>
        <w:outlineLvl w:val="2"/>
        <w:rPr>
          <w:b/>
          <w:caps/>
          <w:color w:val="42402C" w:themeColor="accent4" w:themeShade="80"/>
          <w:sz w:val="24"/>
          <w:szCs w:val="24"/>
        </w:rPr>
      </w:pPr>
      <w:r w:rsidRPr="00E138A3">
        <w:rPr>
          <w:b/>
          <w:caps/>
          <w:color w:val="42402C" w:themeColor="accent4" w:themeShade="80"/>
          <w:sz w:val="40"/>
          <w:szCs w:val="24"/>
        </w:rPr>
        <w:t xml:space="preserve">II </w:t>
      </w:r>
      <w:r w:rsidRPr="00E138A3">
        <w:rPr>
          <w:b/>
          <w:caps/>
          <w:color w:val="42402C" w:themeColor="accent4" w:themeShade="80"/>
          <w:sz w:val="24"/>
          <w:szCs w:val="24"/>
        </w:rPr>
        <w:t>BILJEŠKE UZ IZVJEŠTAJ O OBVEZAMA (Obrazac OBVEZE)</w:t>
      </w:r>
    </w:p>
    <w:p w:rsidR="00E138A3" w:rsidRPr="00E138A3" w:rsidRDefault="00213037" w:rsidP="00E138A3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ind w:left="357" w:hanging="357"/>
        <w:contextualSpacing/>
        <w:rPr>
          <w:b/>
          <w:color w:val="42402C" w:themeColor="accent4" w:themeShade="80"/>
          <w:u w:val="single"/>
        </w:rPr>
      </w:pPr>
      <w:r>
        <w:rPr>
          <w:b/>
          <w:color w:val="42402C" w:themeColor="accent4" w:themeShade="80"/>
          <w:u w:val="single"/>
        </w:rPr>
        <w:t>AOP-036 / 037</w:t>
      </w:r>
      <w:r w:rsidR="00E138A3" w:rsidRPr="00E138A3">
        <w:rPr>
          <w:b/>
          <w:color w:val="42402C" w:themeColor="accent4" w:themeShade="80"/>
          <w:u w:val="single"/>
        </w:rPr>
        <w:t xml:space="preserve"> – STANJE OBVEZA NA KRAJU IZVJEŠTAJNOG RAZDOBLJA</w:t>
      </w:r>
    </w:p>
    <w:p w:rsidR="00E138A3" w:rsidRPr="00E138A3" w:rsidRDefault="00B54536" w:rsidP="00E138A3">
      <w:pPr>
        <w:tabs>
          <w:tab w:val="decimal" w:pos="8789"/>
        </w:tabs>
        <w:spacing w:after="0"/>
        <w:jc w:val="center"/>
      </w:pPr>
      <w:r w:rsidRPr="00B54536">
        <w:rPr>
          <w:noProof/>
          <w:lang w:eastAsia="hr-HR"/>
        </w:rPr>
        <w:drawing>
          <wp:inline distT="0" distB="0" distL="0" distR="0">
            <wp:extent cx="4511675" cy="1095375"/>
            <wp:effectExtent l="0" t="0" r="3175" b="9525"/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A3" w:rsidRPr="00E138A3" w:rsidRDefault="00E138A3" w:rsidP="00E138A3">
      <w:pPr>
        <w:tabs>
          <w:tab w:val="decimal" w:pos="8789"/>
        </w:tabs>
        <w:spacing w:after="120"/>
        <w:jc w:val="left"/>
      </w:pPr>
      <w:r w:rsidRPr="00E138A3">
        <w:rPr>
          <w:i/>
          <w:sz w:val="18"/>
        </w:rPr>
        <w:t xml:space="preserve">Isječak iz </w:t>
      </w:r>
      <w:r w:rsidR="00C76CF9">
        <w:rPr>
          <w:i/>
          <w:sz w:val="18"/>
        </w:rPr>
        <w:t>obrasca obveze na dan 31.12.2020</w:t>
      </w:r>
      <w:r w:rsidRPr="00E138A3">
        <w:rPr>
          <w:i/>
          <w:sz w:val="18"/>
        </w:rPr>
        <w:t>. god.</w:t>
      </w:r>
    </w:p>
    <w:p w:rsidR="00E138A3" w:rsidRPr="00E138A3" w:rsidRDefault="00E138A3" w:rsidP="00E138A3">
      <w:pPr>
        <w:tabs>
          <w:tab w:val="decimal" w:pos="8789"/>
        </w:tabs>
        <w:spacing w:after="0"/>
        <w:jc w:val="center"/>
      </w:pPr>
      <w:r w:rsidRPr="00E138A3">
        <w:t>PRIKAZ DOSPJELIH OBVEZA</w:t>
      </w:r>
    </w:p>
    <w:p w:rsidR="00E138A3" w:rsidRPr="00E138A3" w:rsidRDefault="00C6267B" w:rsidP="00B73E8A">
      <w:pPr>
        <w:tabs>
          <w:tab w:val="decimal" w:pos="8789"/>
        </w:tabs>
        <w:spacing w:after="0"/>
        <w:jc w:val="center"/>
      </w:pPr>
      <w:r w:rsidRPr="00C6267B">
        <w:rPr>
          <w:noProof/>
          <w:lang w:eastAsia="hr-HR"/>
        </w:rPr>
        <w:drawing>
          <wp:inline distT="0" distB="0" distL="0" distR="0">
            <wp:extent cx="6645910" cy="2491517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9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37" w:rsidRDefault="00E138A3" w:rsidP="00B73E8A">
      <w:pPr>
        <w:tabs>
          <w:tab w:val="decimal" w:pos="8789"/>
        </w:tabs>
        <w:spacing w:after="0"/>
      </w:pPr>
      <w:r w:rsidRPr="00E138A3">
        <w:t xml:space="preserve">Analizirajući dospjele obveze uočeno je </w:t>
      </w:r>
      <w:r w:rsidR="00992DE6">
        <w:t>konstantno</w:t>
      </w:r>
      <w:r w:rsidRPr="00E138A3">
        <w:t xml:space="preserve"> </w:t>
      </w:r>
      <w:r w:rsidR="00213037">
        <w:t>smanjenje</w:t>
      </w:r>
      <w:r w:rsidRPr="00E138A3">
        <w:t xml:space="preserve"> </w:t>
      </w:r>
      <w:r w:rsidR="00213037">
        <w:t xml:space="preserve">istih u razdoblju od </w:t>
      </w:r>
      <w:r w:rsidR="00992DE6">
        <w:t>31.12.2016. godine do 31.12.2019</w:t>
      </w:r>
      <w:r w:rsidR="005648FF">
        <w:t>. godine</w:t>
      </w:r>
      <w:r w:rsidR="00C6267B">
        <w:t>, a u periodu između 31.12.2019. godine i 31.12.2020. godine uočljiv</w:t>
      </w:r>
      <w:r w:rsidR="007232FD">
        <w:t>o je povećanje dospjelih obveza</w:t>
      </w:r>
      <w:r w:rsidR="00C6267B">
        <w:t xml:space="preserve"> s 47.910.175,00 kn na 75.394.565,00 kn.</w:t>
      </w:r>
    </w:p>
    <w:p w:rsidR="00DD045A" w:rsidRDefault="00C6267B" w:rsidP="00C6267B">
      <w:pPr>
        <w:tabs>
          <w:tab w:val="decimal" w:pos="8789"/>
        </w:tabs>
        <w:spacing w:after="0"/>
      </w:pPr>
      <w:r>
        <w:t>Unatoč raznim</w:t>
      </w:r>
      <w:r w:rsidRPr="00E138A3">
        <w:t xml:space="preserve"> </w:t>
      </w:r>
      <w:r>
        <w:t>čimbenicima</w:t>
      </w:r>
      <w:r w:rsidRPr="00E138A3">
        <w:t xml:space="preserve"> na koje ustanova nije mogla utjecati (isplata božićnice, regr</w:t>
      </w:r>
      <w:r>
        <w:t>esa, dječjih darova, izmjene u Z</w:t>
      </w:r>
      <w:r w:rsidRPr="00E138A3">
        <w:t>akonu o radu,</w:t>
      </w:r>
      <w:r>
        <w:t xml:space="preserve"> kolektivnom ugovoru i slično) ostvareno</w:t>
      </w:r>
      <w:r w:rsidR="007232FD">
        <w:t xml:space="preserve"> je</w:t>
      </w:r>
      <w:r>
        <w:t xml:space="preserve"> u</w:t>
      </w:r>
      <w:r w:rsidRPr="005648FF">
        <w:t xml:space="preserve">kupno smanjenje dospjelih obveza </w:t>
      </w:r>
      <w:r>
        <w:t>u iznosu od</w:t>
      </w:r>
      <w:r w:rsidRPr="005648FF">
        <w:t xml:space="preserve"> </w:t>
      </w:r>
      <w:r w:rsidRPr="00992DE6">
        <w:t>9.191.553,00 kuna u</w:t>
      </w:r>
      <w:r>
        <w:t xml:space="preserve"> odnosu na stanje na dan 31.12.2016. godine, smanjenje od </w:t>
      </w:r>
      <w:r w:rsidRPr="00992DE6">
        <w:t>4.219.933</w:t>
      </w:r>
      <w:r>
        <w:t xml:space="preserve">,00 kuna u odnosu na stanje na dan 31.12.2017. godine, te </w:t>
      </w:r>
      <w:r w:rsidRPr="00992DE6">
        <w:t>2.313.128</w:t>
      </w:r>
      <w:r>
        <w:t xml:space="preserve">,00 kuna </w:t>
      </w:r>
      <w:r w:rsidRPr="00992DE6">
        <w:t>u od</w:t>
      </w:r>
      <w:r>
        <w:t>nosu na stanje na dan 31.12.2018</w:t>
      </w:r>
      <w:r w:rsidRPr="00992DE6">
        <w:t>. godine</w:t>
      </w:r>
      <w:r>
        <w:t xml:space="preserve">. Uzrok povećanju dospjelih obveza u odnosu na dan 31.12.2019. godine leži u činjenici naglog povećanja rashoda Ustanove za nabavku medicinske opreme, prilagodbu prostora, nabavku zaštitne opreme, izmjene kolektivnog ugovora i ugovora za isplatu plaća, kao i značajno smanjenje prihoda zbog smanjenog obujma rada uslijed prilagodbe novim okolnostima uzrokovanima Odlukama Nacionalnog stožera civilne zaštite Republike Hrvatske, uputa i Odluka resornog Ministarstva zdravstva, a sve vezano za prisutnost i utjecaj epidemije bolesti COVID-19, uzrokovane virusom SARS-CoV-2. </w:t>
      </w:r>
      <w:r w:rsidR="00F12BA2">
        <w:t>Prisutnost epidemije bolesti COVID-19 dovel</w:t>
      </w:r>
      <w:r w:rsidR="00494B82">
        <w:t>a</w:t>
      </w:r>
      <w:r w:rsidR="00F12BA2">
        <w:t xml:space="preserve"> je do značajne reorganizacije rada Ustanove i prilagodbe rada u novonastalim uvjetima, a samo dovođenje Ustanove u uvjete u kojima se može nositi s nastalom situacijom zahtijevalo je prilagodbu u poslovanju Ustanove, ali koja nije naišla na jednaku razinu prilagodbe</w:t>
      </w:r>
      <w:r w:rsidR="00A21303">
        <w:t xml:space="preserve"> od strane HZZO-a</w:t>
      </w:r>
      <w:r w:rsidR="00F12BA2">
        <w:t xml:space="preserve"> </w:t>
      </w:r>
      <w:r w:rsidR="00454E71">
        <w:t>u pogledu bolničkih limita i plaćanju po učinku rada Ustanova</w:t>
      </w:r>
      <w:r w:rsidR="00F12BA2">
        <w:t xml:space="preserve">. </w:t>
      </w:r>
      <w:r w:rsidR="004F1A4D">
        <w:t xml:space="preserve">Ukupno smanjenje prihoda od strane HZZO tako </w:t>
      </w:r>
      <w:r w:rsidR="007232FD">
        <w:t xml:space="preserve">iznosi </w:t>
      </w:r>
      <w:r w:rsidR="004F1A4D" w:rsidRPr="004F1A4D">
        <w:lastRenderedPageBreak/>
        <w:t>29.278.562,0</w:t>
      </w:r>
      <w:r w:rsidR="004F1A4D">
        <w:t>0 kuna – proizašlih zbog manjeg obujma pruženih usluga, a sve temeljem mjera suzbijanja COVID</w:t>
      </w:r>
      <w:r w:rsidR="00656525">
        <w:t>-</w:t>
      </w:r>
      <w:r w:rsidR="00235BC4">
        <w:t>19 pandemije.</w:t>
      </w:r>
      <w:r w:rsidR="004F1A4D">
        <w:t xml:space="preserve"> </w:t>
      </w:r>
      <w:r w:rsidR="00235BC4">
        <w:t>Izmjene</w:t>
      </w:r>
      <w:r w:rsidR="004F1A4D">
        <w:t xml:space="preserve"> prava radnika temeljem Odluka r</w:t>
      </w:r>
      <w:r w:rsidR="00235BC4">
        <w:t>esornog ministarstva i izmjena</w:t>
      </w:r>
      <w:r w:rsidR="004F1A4D">
        <w:t xml:space="preserve"> kolektivnog ugovora ukupni rashodi za zaposlene porasli za 21.305.303,00 kuna, a materijalni rashodi za lijekove, potrošni medicinski materijal i tekuće i investicijsko ulaganje u postrojenja i opremu </w:t>
      </w:r>
      <w:r w:rsidR="004F1A4D" w:rsidRPr="004F1A4D">
        <w:t>15.410.301</w:t>
      </w:r>
      <w:r w:rsidR="004F1A4D">
        <w:t xml:space="preserve">,00 kuna. </w:t>
      </w:r>
      <w:r w:rsidR="00494B82">
        <w:t>Opća bolnica Zadar je, u svrhu povećanja likvidnosti i radi sprječavanja obustave</w:t>
      </w:r>
      <w:r w:rsidR="00235BC4">
        <w:t xml:space="preserve"> isporuke</w:t>
      </w:r>
      <w:r w:rsidR="00494B82">
        <w:t xml:space="preserve"> lijekova i zaštitne opreme, tijekom 2020. godine primila uplatu od 350.880,00 kuna od strane HZZO-a</w:t>
      </w:r>
      <w:r w:rsidR="00235BC4">
        <w:t>,</w:t>
      </w:r>
      <w:r w:rsidR="00494B82">
        <w:t xml:space="preserve"> te 34.115.625,00 kn temeljem Ugovora o načinu utroška namjenskih financijskih sredstava između Ministarstva zdravstva i Zadarske županije KLASA: 401-01/20-1/8, URBROJ: 2198/1-01-20-2 od 13. studenoga 2020. godine.</w:t>
      </w:r>
    </w:p>
    <w:p w:rsidR="00DD045A" w:rsidRDefault="00DD045A">
      <w:pPr>
        <w:jc w:val="left"/>
      </w:pPr>
      <w:r>
        <w:br w:type="page"/>
      </w:r>
    </w:p>
    <w:p w:rsidR="00E138A3" w:rsidRDefault="00E138A3" w:rsidP="00213037">
      <w:pPr>
        <w:tabs>
          <w:tab w:val="decimal" w:pos="8789"/>
        </w:tabs>
        <w:spacing w:after="0"/>
      </w:pPr>
    </w:p>
    <w:p w:rsidR="00E138A3" w:rsidRPr="00CF36B4" w:rsidRDefault="00E138A3" w:rsidP="00E138A3">
      <w:pPr>
        <w:pBdr>
          <w:top w:val="dotted" w:sz="4" w:space="1" w:color="6B261B" w:themeColor="accent2" w:themeShade="7F"/>
          <w:bottom w:val="dotted" w:sz="4" w:space="1" w:color="6B261B" w:themeColor="accent2" w:themeShade="7F"/>
        </w:pBdr>
        <w:spacing w:before="300"/>
        <w:jc w:val="left"/>
        <w:outlineLvl w:val="2"/>
        <w:rPr>
          <w:caps/>
          <w:color w:val="42402C" w:themeColor="accent4" w:themeShade="80"/>
          <w:sz w:val="24"/>
          <w:szCs w:val="24"/>
        </w:rPr>
      </w:pPr>
      <w:r w:rsidRPr="00CF36B4">
        <w:rPr>
          <w:b/>
          <w:caps/>
          <w:color w:val="42402C" w:themeColor="accent4" w:themeShade="80"/>
          <w:sz w:val="40"/>
          <w:szCs w:val="24"/>
        </w:rPr>
        <w:t xml:space="preserve">IIi </w:t>
      </w:r>
      <w:r w:rsidRPr="00CF36B4">
        <w:rPr>
          <w:b/>
          <w:caps/>
          <w:color w:val="42402C" w:themeColor="accent4" w:themeShade="80"/>
          <w:sz w:val="24"/>
          <w:szCs w:val="24"/>
        </w:rPr>
        <w:t xml:space="preserve">IZVJEŠTAJ O PROMJENAMA U VRIJEDNOSTI I OBUJMU IMOVINE I OBVEZA </w:t>
      </w:r>
      <w:r w:rsidRPr="00CF36B4">
        <w:rPr>
          <w:caps/>
          <w:color w:val="42402C" w:themeColor="accent4" w:themeShade="80"/>
          <w:sz w:val="24"/>
          <w:szCs w:val="24"/>
        </w:rPr>
        <w:t>(Obrazac – P-VRIO)</w:t>
      </w:r>
    </w:p>
    <w:p w:rsidR="00E138A3" w:rsidRPr="00CF36B4" w:rsidRDefault="005D3D7F" w:rsidP="00E138A3">
      <w:pPr>
        <w:spacing w:after="120"/>
      </w:pPr>
      <w:r w:rsidRPr="00CF36B4">
        <w:t>Sukladno čl</w:t>
      </w:r>
      <w:r w:rsidR="00D33A51" w:rsidRPr="00CF36B4">
        <w:t>.</w:t>
      </w:r>
      <w:r w:rsidRPr="00CF36B4">
        <w:t xml:space="preserve"> 16</w:t>
      </w:r>
      <w:r w:rsidR="00E138A3" w:rsidRPr="00CF36B4">
        <w:t xml:space="preserve">. Pravilnika o financijskom izvještavanju u proračunskom računovodstvu </w:t>
      </w:r>
      <w:r w:rsidRPr="00CF36B4">
        <w:t xml:space="preserve">(„Narodne novine“, broj </w:t>
      </w:r>
      <w:r w:rsidR="00F370BB" w:rsidRPr="00CF36B4">
        <w:t>03/15, 93/15, 135/1</w:t>
      </w:r>
      <w:r w:rsidR="00B8264E" w:rsidRPr="00CF36B4">
        <w:t xml:space="preserve">5, 2/17, 28/17, 112/18, </w:t>
      </w:r>
      <w:r w:rsidR="00F370BB" w:rsidRPr="00CF36B4">
        <w:t>126/19</w:t>
      </w:r>
      <w:r w:rsidR="00B8264E" w:rsidRPr="00CF36B4">
        <w:t xml:space="preserve"> i 108/20</w:t>
      </w:r>
      <w:r w:rsidRPr="00CF36B4">
        <w:t>)</w:t>
      </w:r>
      <w:r w:rsidR="00E138A3" w:rsidRPr="00CF36B4">
        <w:t xml:space="preserve"> u Bilješkama uz Izvještaj o prihodima i rashodima, primicima i izdacima navodimo </w:t>
      </w:r>
      <w:r w:rsidRPr="00CF36B4">
        <w:t>značajne promjene</w:t>
      </w:r>
      <w:r w:rsidR="00E138A3" w:rsidRPr="00CF36B4">
        <w:t xml:space="preserve"> u obujmu  imovine:</w:t>
      </w:r>
    </w:p>
    <w:p w:rsidR="00E138A3" w:rsidRPr="00CF36B4" w:rsidRDefault="00E138A3" w:rsidP="00E138A3">
      <w:pPr>
        <w:numPr>
          <w:ilvl w:val="0"/>
          <w:numId w:val="2"/>
        </w:numPr>
        <w:tabs>
          <w:tab w:val="decimal" w:pos="8789"/>
        </w:tabs>
        <w:spacing w:after="120" w:line="240" w:lineRule="auto"/>
        <w:contextualSpacing/>
        <w:rPr>
          <w:b/>
          <w:color w:val="42402C" w:themeColor="accent4" w:themeShade="80"/>
          <w:u w:val="single"/>
        </w:rPr>
      </w:pPr>
      <w:r w:rsidRPr="00CF36B4">
        <w:rPr>
          <w:b/>
          <w:color w:val="42402C" w:themeColor="accent4" w:themeShade="80"/>
          <w:u w:val="single"/>
        </w:rPr>
        <w:t>AOP- 001 – PROMJENE U VRIJEDNOSTI I OBUJMU IMOVINE</w:t>
      </w:r>
    </w:p>
    <w:p w:rsidR="00E138A3" w:rsidRPr="00CF36B4" w:rsidRDefault="00CF36B4" w:rsidP="00E138A3">
      <w:pPr>
        <w:tabs>
          <w:tab w:val="decimal" w:pos="8789"/>
        </w:tabs>
        <w:spacing w:after="0"/>
        <w:jc w:val="center"/>
        <w:rPr>
          <w:i/>
          <w:sz w:val="18"/>
        </w:rPr>
      </w:pPr>
      <w:r w:rsidRPr="00CF36B4">
        <w:rPr>
          <w:noProof/>
          <w:lang w:eastAsia="hr-HR"/>
        </w:rPr>
        <w:drawing>
          <wp:inline distT="0" distB="0" distL="0" distR="0">
            <wp:extent cx="6116320" cy="3002280"/>
            <wp:effectExtent l="0" t="0" r="0" b="7620"/>
            <wp:docPr id="646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A3" w:rsidRPr="00CF36B4" w:rsidRDefault="00E138A3" w:rsidP="00E138A3">
      <w:pPr>
        <w:tabs>
          <w:tab w:val="decimal" w:pos="8789"/>
        </w:tabs>
        <w:spacing w:after="120"/>
        <w:rPr>
          <w:i/>
          <w:sz w:val="18"/>
        </w:rPr>
      </w:pPr>
      <w:r w:rsidRPr="00CF36B4">
        <w:rPr>
          <w:i/>
          <w:sz w:val="18"/>
        </w:rPr>
        <w:t>Isječak iz obrasca P-VRIO.</w:t>
      </w:r>
      <w:r w:rsidR="00213037" w:rsidRPr="00CF36B4">
        <w:rPr>
          <w:i/>
          <w:sz w:val="18"/>
        </w:rPr>
        <w:t xml:space="preserve"> </w:t>
      </w:r>
    </w:p>
    <w:p w:rsidR="00E138A3" w:rsidRPr="00AC2E71" w:rsidRDefault="00E138A3" w:rsidP="00E138A3">
      <w:pPr>
        <w:tabs>
          <w:tab w:val="decimal" w:pos="8789"/>
        </w:tabs>
        <w:spacing w:after="0"/>
        <w:ind w:left="720"/>
        <w:rPr>
          <w:b/>
          <w:u w:val="single"/>
        </w:rPr>
      </w:pPr>
      <w:r w:rsidRPr="00AC2E71">
        <w:rPr>
          <w:b/>
          <w:u w:val="single"/>
        </w:rPr>
        <w:t xml:space="preserve">Povećanje u vrijednosti i obujmu imovine </w:t>
      </w:r>
    </w:p>
    <w:p w:rsidR="00F370BB" w:rsidRPr="00AC2E71" w:rsidRDefault="00213037" w:rsidP="00F370BB">
      <w:pPr>
        <w:tabs>
          <w:tab w:val="decimal" w:pos="4536"/>
          <w:tab w:val="decimal" w:pos="8789"/>
        </w:tabs>
        <w:spacing w:after="0"/>
      </w:pPr>
      <w:r w:rsidRPr="00AC2E71">
        <w:t>Višak osnovnih sredstava</w:t>
      </w:r>
      <w:r w:rsidR="005D3D7F" w:rsidRPr="00AC2E71">
        <w:t xml:space="preserve"> po provedenom popisu</w:t>
      </w:r>
      <w:r w:rsidR="0041115F" w:rsidRPr="00AC2E71">
        <w:t>:</w:t>
      </w:r>
      <w:r w:rsidRPr="00AC2E71">
        <w:tab/>
      </w:r>
      <w:r w:rsidR="005D3D7F" w:rsidRPr="00AC2E71">
        <w:tab/>
      </w:r>
      <w:r w:rsidR="008D1BD9" w:rsidRPr="00AC2E71">
        <w:t>7.450</w:t>
      </w:r>
      <w:r w:rsidR="00753F56" w:rsidRPr="00AC2E71">
        <w:t>,00 kuna</w:t>
      </w:r>
      <w:r w:rsidR="00D33A51" w:rsidRPr="00AC2E71">
        <w:t>,</w:t>
      </w:r>
    </w:p>
    <w:p w:rsidR="008D1BD9" w:rsidRPr="00AC2E71" w:rsidRDefault="008D1BD9" w:rsidP="00F370BB">
      <w:pPr>
        <w:tabs>
          <w:tab w:val="decimal" w:pos="4536"/>
          <w:tab w:val="decimal" w:pos="8789"/>
        </w:tabs>
        <w:spacing w:after="0"/>
      </w:pPr>
      <w:r w:rsidRPr="00AC2E71">
        <w:t>Pomoći između proračunskih korisnika (nabavka opreme)</w:t>
      </w:r>
      <w:r w:rsidRPr="00AC2E71">
        <w:tab/>
        <w:t>726.230,00 kuna,</w:t>
      </w:r>
    </w:p>
    <w:p w:rsidR="00AC2E71" w:rsidRDefault="00AC2E71" w:rsidP="00AC2E71">
      <w:pPr>
        <w:tabs>
          <w:tab w:val="decimal" w:pos="4536"/>
          <w:tab w:val="decimal" w:pos="8789"/>
        </w:tabs>
        <w:spacing w:after="0"/>
      </w:pPr>
      <w:r w:rsidRPr="00AC2E71">
        <w:t>Pomoći između proračunskih korisnika (Sitni inventar)</w:t>
      </w:r>
      <w:r w:rsidRPr="00AC2E71">
        <w:tab/>
        <w:t>96.657,00 kuna,</w:t>
      </w:r>
    </w:p>
    <w:p w:rsidR="00AC2E71" w:rsidRPr="00AC2E71" w:rsidRDefault="00AC2E71" w:rsidP="00AC2E71">
      <w:pPr>
        <w:tabs>
          <w:tab w:val="decimal" w:pos="4536"/>
          <w:tab w:val="decimal" w:pos="8789"/>
        </w:tabs>
        <w:spacing w:after="0"/>
      </w:pPr>
      <w:r>
        <w:t>Zaštitna oprema zaprimljena od strane Nacionalnog stožera i ravnateljstva civilne zašite</w:t>
      </w:r>
      <w:r>
        <w:tab/>
        <w:t>781.061,00 kuna.</w:t>
      </w:r>
    </w:p>
    <w:p w:rsidR="00D33A51" w:rsidRPr="00A57A89" w:rsidRDefault="00D33A51" w:rsidP="00F370BB">
      <w:pPr>
        <w:tabs>
          <w:tab w:val="decimal" w:pos="4536"/>
          <w:tab w:val="decimal" w:pos="8789"/>
        </w:tabs>
        <w:spacing w:after="0"/>
        <w:ind w:left="720"/>
        <w:rPr>
          <w:b/>
          <w:highlight w:val="yellow"/>
          <w:u w:val="single"/>
        </w:rPr>
      </w:pPr>
    </w:p>
    <w:p w:rsidR="00E138A3" w:rsidRPr="00CF36B4" w:rsidRDefault="00E138A3" w:rsidP="00F370BB">
      <w:pPr>
        <w:tabs>
          <w:tab w:val="decimal" w:pos="4536"/>
          <w:tab w:val="decimal" w:pos="8789"/>
        </w:tabs>
        <w:spacing w:after="0"/>
        <w:ind w:left="720"/>
        <w:rPr>
          <w:b/>
          <w:u w:val="single"/>
        </w:rPr>
      </w:pPr>
      <w:r w:rsidRPr="00CF36B4">
        <w:rPr>
          <w:b/>
          <w:u w:val="single"/>
        </w:rPr>
        <w:t xml:space="preserve">Smanjenje u vrijednosti i obujmu imovine </w:t>
      </w:r>
    </w:p>
    <w:p w:rsidR="00213037" w:rsidRDefault="00213037" w:rsidP="00F370BB">
      <w:pPr>
        <w:tabs>
          <w:tab w:val="decimal" w:pos="4536"/>
          <w:tab w:val="decimal" w:pos="8789"/>
        </w:tabs>
        <w:spacing w:after="0"/>
      </w:pPr>
      <w:r w:rsidRPr="00CF36B4">
        <w:t>Rashodi osnovnih sredstava</w:t>
      </w:r>
      <w:r w:rsidR="0041115F" w:rsidRPr="00CF36B4">
        <w:t>:</w:t>
      </w:r>
      <w:r w:rsidRPr="00CF36B4">
        <w:tab/>
      </w:r>
      <w:r w:rsidR="00F370BB" w:rsidRPr="00CF36B4">
        <w:tab/>
      </w:r>
      <w:r w:rsidR="00CF36B4" w:rsidRPr="00CF36B4">
        <w:t>79</w:t>
      </w:r>
      <w:r w:rsidR="00F370BB" w:rsidRPr="00CF36B4">
        <w:t>.</w:t>
      </w:r>
      <w:r w:rsidR="00CF36B4" w:rsidRPr="00CF36B4">
        <w:t>411</w:t>
      </w:r>
      <w:r w:rsidR="00F370BB" w:rsidRPr="00CF36B4">
        <w:t>,</w:t>
      </w:r>
      <w:r w:rsidR="00CF36B4" w:rsidRPr="00CF36B4">
        <w:t>00</w:t>
      </w:r>
      <w:r w:rsidR="00D33A51" w:rsidRPr="00CF36B4">
        <w:t xml:space="preserve"> kuna,</w:t>
      </w:r>
    </w:p>
    <w:p w:rsidR="008D1BD9" w:rsidRPr="00CF36B4" w:rsidRDefault="008D1BD9" w:rsidP="00F370BB">
      <w:pPr>
        <w:tabs>
          <w:tab w:val="decimal" w:pos="4536"/>
          <w:tab w:val="decimal" w:pos="8789"/>
        </w:tabs>
        <w:spacing w:after="0"/>
      </w:pPr>
      <w:r>
        <w:t>Otpis kamata iz poslovnih odnosa</w:t>
      </w:r>
      <w:r>
        <w:tab/>
      </w:r>
      <w:r>
        <w:tab/>
        <w:t>2.686,00 kuna,</w:t>
      </w:r>
    </w:p>
    <w:p w:rsidR="008C4531" w:rsidRPr="00CF36B4" w:rsidRDefault="00D33A51" w:rsidP="00F370BB">
      <w:pPr>
        <w:tabs>
          <w:tab w:val="decimal" w:pos="4536"/>
          <w:tab w:val="decimal" w:pos="8789"/>
        </w:tabs>
        <w:spacing w:after="0"/>
      </w:pPr>
      <w:r w:rsidRPr="00CF36B4">
        <w:t xml:space="preserve">Rashod </w:t>
      </w:r>
      <w:r w:rsidR="008D1BD9">
        <w:t>lijekova</w:t>
      </w:r>
      <w:r w:rsidRPr="00CF36B4">
        <w:tab/>
      </w:r>
      <w:r w:rsidRPr="00CF36B4">
        <w:tab/>
      </w:r>
      <w:r w:rsidR="00CF36B4">
        <w:t>43</w:t>
      </w:r>
      <w:r w:rsidRPr="00CF36B4">
        <w:t>,00 kun</w:t>
      </w:r>
      <w:r w:rsidR="00CF36B4">
        <w:t>e</w:t>
      </w:r>
      <w:r w:rsidR="005D3D7F" w:rsidRPr="00CF36B4">
        <w:t>.</w:t>
      </w:r>
    </w:p>
    <w:p w:rsidR="00DD045A" w:rsidRPr="00A57A89" w:rsidRDefault="00DD045A">
      <w:pPr>
        <w:jc w:val="left"/>
        <w:rPr>
          <w:highlight w:val="yellow"/>
        </w:rPr>
      </w:pPr>
      <w:r w:rsidRPr="00A57A89">
        <w:rPr>
          <w:highlight w:val="yellow"/>
        </w:rPr>
        <w:br w:type="page"/>
      </w:r>
    </w:p>
    <w:p w:rsidR="00E138A3" w:rsidRPr="0061300B" w:rsidRDefault="00E138A3" w:rsidP="00E138A3">
      <w:pPr>
        <w:pBdr>
          <w:top w:val="dotted" w:sz="4" w:space="1" w:color="6B261B" w:themeColor="accent2" w:themeShade="7F"/>
          <w:bottom w:val="dotted" w:sz="4" w:space="1" w:color="6B261B" w:themeColor="accent2" w:themeShade="7F"/>
        </w:pBdr>
        <w:spacing w:before="300"/>
        <w:jc w:val="left"/>
        <w:outlineLvl w:val="2"/>
        <w:rPr>
          <w:b/>
          <w:caps/>
          <w:color w:val="42402C" w:themeColor="accent4" w:themeShade="80"/>
          <w:sz w:val="24"/>
          <w:szCs w:val="24"/>
        </w:rPr>
      </w:pPr>
      <w:r w:rsidRPr="0061300B">
        <w:rPr>
          <w:b/>
          <w:caps/>
          <w:color w:val="42402C" w:themeColor="accent4" w:themeShade="80"/>
          <w:sz w:val="40"/>
          <w:szCs w:val="24"/>
        </w:rPr>
        <w:lastRenderedPageBreak/>
        <w:t xml:space="preserve">IV </w:t>
      </w:r>
      <w:r w:rsidRPr="0061300B">
        <w:rPr>
          <w:b/>
          <w:caps/>
          <w:color w:val="42402C" w:themeColor="accent4" w:themeShade="80"/>
          <w:sz w:val="24"/>
          <w:szCs w:val="24"/>
        </w:rPr>
        <w:t>IZVJEŠTAJ O RASHODIMA PREMA FUNKCIJSKOJ KLASIFIKACIJI (obrazac ras-funkcijski)</w:t>
      </w:r>
    </w:p>
    <w:p w:rsidR="00E138A3" w:rsidRPr="0061300B" w:rsidRDefault="0061300B" w:rsidP="008C4531">
      <w:pPr>
        <w:tabs>
          <w:tab w:val="decimal" w:pos="8789"/>
        </w:tabs>
        <w:spacing w:after="120"/>
        <w:jc w:val="center"/>
        <w:rPr>
          <w:i/>
          <w:sz w:val="18"/>
        </w:rPr>
      </w:pPr>
      <w:r w:rsidRPr="0061300B">
        <w:rPr>
          <w:noProof/>
          <w:lang w:eastAsia="hr-HR"/>
        </w:rPr>
        <w:drawing>
          <wp:inline distT="0" distB="0" distL="0" distR="0">
            <wp:extent cx="6645910" cy="1099577"/>
            <wp:effectExtent l="0" t="0" r="2540" b="5715"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9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A3" w:rsidRPr="0061300B" w:rsidRDefault="00E138A3" w:rsidP="00E138A3">
      <w:pPr>
        <w:tabs>
          <w:tab w:val="decimal" w:pos="8789"/>
        </w:tabs>
        <w:spacing w:after="120"/>
      </w:pPr>
      <w:r w:rsidRPr="0061300B">
        <w:rPr>
          <w:i/>
          <w:sz w:val="18"/>
        </w:rPr>
        <w:t xml:space="preserve">Isječak iz obrasca ras-funkcijski </w:t>
      </w:r>
      <w:r w:rsidR="00B8264E" w:rsidRPr="0061300B">
        <w:rPr>
          <w:i/>
          <w:sz w:val="18"/>
        </w:rPr>
        <w:t>na dan 31.12.2020</w:t>
      </w:r>
      <w:r w:rsidRPr="0061300B">
        <w:rPr>
          <w:i/>
          <w:sz w:val="18"/>
        </w:rPr>
        <w:t>. god.</w:t>
      </w:r>
    </w:p>
    <w:p w:rsidR="00E138A3" w:rsidRPr="0061300B" w:rsidRDefault="00E138A3" w:rsidP="00E138A3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ind w:left="357" w:hanging="357"/>
        <w:contextualSpacing/>
        <w:rPr>
          <w:b/>
          <w:color w:val="42402C" w:themeColor="accent4" w:themeShade="80"/>
          <w:u w:val="single"/>
        </w:rPr>
      </w:pPr>
      <w:r w:rsidRPr="0061300B">
        <w:rPr>
          <w:b/>
          <w:color w:val="42402C" w:themeColor="accent4" w:themeShade="80"/>
          <w:u w:val="single"/>
        </w:rPr>
        <w:t xml:space="preserve">AOP-096 – USLUGE OPĆIH BOLNICA </w:t>
      </w:r>
      <w:r w:rsidRPr="0061300B">
        <w:rPr>
          <w:b/>
          <w:color w:val="42402C" w:themeColor="accent4" w:themeShade="80"/>
          <w:u w:val="single"/>
        </w:rPr>
        <w:tab/>
        <w:t xml:space="preserve">Indeks  </w:t>
      </w:r>
      <w:r w:rsidR="0061300B">
        <w:rPr>
          <w:b/>
          <w:color w:val="42402C" w:themeColor="accent4" w:themeShade="80"/>
          <w:u w:val="single"/>
        </w:rPr>
        <w:t>119</w:t>
      </w:r>
      <w:r w:rsidR="00D33A51" w:rsidRPr="0061300B">
        <w:rPr>
          <w:b/>
          <w:color w:val="42402C" w:themeColor="accent4" w:themeShade="80"/>
          <w:u w:val="single"/>
        </w:rPr>
        <w:t>,</w:t>
      </w:r>
      <w:r w:rsidR="0061300B">
        <w:rPr>
          <w:b/>
          <w:color w:val="42402C" w:themeColor="accent4" w:themeShade="80"/>
          <w:u w:val="single"/>
        </w:rPr>
        <w:t>6</w:t>
      </w:r>
    </w:p>
    <w:p w:rsidR="00E138A3" w:rsidRPr="0061300B" w:rsidRDefault="00E138A3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61300B">
        <w:rPr>
          <w:bCs/>
          <w:iCs/>
        </w:rPr>
        <w:t>Razvrstani su rashodi poslovanja iz razreda 3 i rashodi za nabavu nefinancijske imovine razreda 4.</w:t>
      </w:r>
    </w:p>
    <w:p w:rsidR="0041115F" w:rsidRPr="0061300B" w:rsidRDefault="0041115F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E138A3" w:rsidRPr="0061300B" w:rsidRDefault="00E138A3" w:rsidP="00E138A3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ind w:left="357" w:hanging="357"/>
        <w:contextualSpacing/>
        <w:rPr>
          <w:b/>
          <w:color w:val="42402C" w:themeColor="accent4" w:themeShade="80"/>
          <w:u w:val="single"/>
        </w:rPr>
      </w:pPr>
      <w:r w:rsidRPr="0061300B">
        <w:rPr>
          <w:b/>
          <w:color w:val="42402C" w:themeColor="accent4" w:themeShade="80"/>
          <w:u w:val="single"/>
        </w:rPr>
        <w:t xml:space="preserve">AOP-101– ISTRAŽIVANJE I RAZVOJ ZDRAVSTVA </w:t>
      </w:r>
      <w:r w:rsidRPr="0061300B">
        <w:rPr>
          <w:b/>
          <w:color w:val="42402C" w:themeColor="accent4" w:themeShade="80"/>
          <w:u w:val="single"/>
        </w:rPr>
        <w:tab/>
        <w:t xml:space="preserve">Indeks  </w:t>
      </w:r>
      <w:r w:rsidR="0061300B">
        <w:rPr>
          <w:b/>
          <w:color w:val="42402C" w:themeColor="accent4" w:themeShade="80"/>
          <w:u w:val="single"/>
        </w:rPr>
        <w:t>227</w:t>
      </w:r>
      <w:r w:rsidR="00D33A51" w:rsidRPr="0061300B">
        <w:rPr>
          <w:b/>
          <w:color w:val="42402C" w:themeColor="accent4" w:themeShade="80"/>
          <w:u w:val="single"/>
        </w:rPr>
        <w:t>,</w:t>
      </w:r>
      <w:r w:rsidR="0061300B">
        <w:rPr>
          <w:b/>
          <w:color w:val="42402C" w:themeColor="accent4" w:themeShade="80"/>
          <w:u w:val="single"/>
        </w:rPr>
        <w:t>1</w:t>
      </w:r>
    </w:p>
    <w:p w:rsidR="00E138A3" w:rsidRPr="00E138A3" w:rsidRDefault="00E138A3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61300B">
        <w:rPr>
          <w:bCs/>
          <w:iCs/>
        </w:rPr>
        <w:t>Iskazani su rashodi obavljanja kliničkih ispitivanja i uvođenja novih lijekova.</w:t>
      </w:r>
    </w:p>
    <w:p w:rsidR="00E138A3" w:rsidRPr="00E138A3" w:rsidRDefault="00E138A3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D95E3E" w:rsidRDefault="00D95E3E">
      <w:pPr>
        <w:jc w:val="left"/>
        <w:rPr>
          <w:b/>
          <w:caps/>
          <w:color w:val="42402C" w:themeColor="accent4" w:themeShade="80"/>
          <w:sz w:val="40"/>
          <w:szCs w:val="24"/>
        </w:rPr>
      </w:pPr>
      <w:r>
        <w:rPr>
          <w:b/>
          <w:caps/>
          <w:color w:val="42402C" w:themeColor="accent4" w:themeShade="80"/>
          <w:sz w:val="40"/>
          <w:szCs w:val="24"/>
        </w:rPr>
        <w:br w:type="page"/>
      </w:r>
    </w:p>
    <w:p w:rsidR="00E138A3" w:rsidRPr="00E138A3" w:rsidRDefault="00E138A3" w:rsidP="00E138A3">
      <w:pPr>
        <w:pBdr>
          <w:top w:val="dotted" w:sz="4" w:space="1" w:color="6B261B" w:themeColor="accent2" w:themeShade="7F"/>
          <w:bottom w:val="dotted" w:sz="4" w:space="1" w:color="6B261B" w:themeColor="accent2" w:themeShade="7F"/>
        </w:pBdr>
        <w:spacing w:before="300"/>
        <w:jc w:val="left"/>
        <w:outlineLvl w:val="2"/>
        <w:rPr>
          <w:caps/>
          <w:color w:val="42402C" w:themeColor="accent4" w:themeShade="80"/>
          <w:sz w:val="24"/>
          <w:szCs w:val="24"/>
        </w:rPr>
      </w:pPr>
      <w:r w:rsidRPr="00E138A3">
        <w:rPr>
          <w:b/>
          <w:caps/>
          <w:color w:val="42402C" w:themeColor="accent4" w:themeShade="80"/>
          <w:sz w:val="40"/>
          <w:szCs w:val="24"/>
        </w:rPr>
        <w:lastRenderedPageBreak/>
        <w:t xml:space="preserve">V </w:t>
      </w:r>
      <w:r w:rsidRPr="00E138A3">
        <w:rPr>
          <w:b/>
          <w:caps/>
          <w:color w:val="42402C" w:themeColor="accent4" w:themeShade="80"/>
          <w:sz w:val="24"/>
          <w:szCs w:val="24"/>
        </w:rPr>
        <w:t xml:space="preserve">izvještaj o prihodima i rashodima, primicima i izdacima </w:t>
      </w:r>
      <w:r w:rsidRPr="00E138A3">
        <w:rPr>
          <w:caps/>
          <w:color w:val="42402C" w:themeColor="accent4" w:themeShade="80"/>
          <w:sz w:val="24"/>
          <w:szCs w:val="24"/>
        </w:rPr>
        <w:t>(Obrazac - PRRAS)</w:t>
      </w:r>
    </w:p>
    <w:p w:rsidR="007E6368" w:rsidRDefault="007E6368" w:rsidP="00E138A3">
      <w:pPr>
        <w:spacing w:after="120"/>
      </w:pPr>
      <w:r>
        <w:t>Sukladno čl 15</w:t>
      </w:r>
      <w:r w:rsidR="00E138A3" w:rsidRPr="00E138A3">
        <w:t>. Pravilnika o financijskom izvještavanju u pro</w:t>
      </w:r>
      <w:r w:rsidR="008C4531">
        <w:t xml:space="preserve">računskom računovodstvu </w:t>
      </w:r>
      <w:r w:rsidRPr="007E6368">
        <w:t>(„Narodne novine“, broj 03/15, 93/15, 135/15, 2/17, 28/17</w:t>
      </w:r>
      <w:r w:rsidR="00657D76">
        <w:t xml:space="preserve">, </w:t>
      </w:r>
      <w:r w:rsidRPr="007E6368">
        <w:t>112/18</w:t>
      </w:r>
      <w:r w:rsidR="00B8264E">
        <w:t xml:space="preserve">, </w:t>
      </w:r>
      <w:r w:rsidR="00657D76">
        <w:t>129/19</w:t>
      </w:r>
      <w:r w:rsidR="00B8264E">
        <w:t xml:space="preserve"> i 108/20</w:t>
      </w:r>
      <w:r w:rsidRPr="007E6368">
        <w:t xml:space="preserve">) </w:t>
      </w:r>
      <w:r w:rsidR="00E138A3" w:rsidRPr="00E138A3">
        <w:t xml:space="preserve">u Bilješkama uz Izvještaj o prihodima i rashodima, primicima i izdacima navodimo razloge </w:t>
      </w:r>
      <w:r>
        <w:t xml:space="preserve">zbog kojih je došlo do većih </w:t>
      </w:r>
      <w:r w:rsidR="00E138A3" w:rsidRPr="00E138A3">
        <w:t xml:space="preserve">odstupanja </w:t>
      </w:r>
      <w:r>
        <w:t>od ostvarenja u izvještajnom razdoblju prethodne godine.</w:t>
      </w:r>
    </w:p>
    <w:p w:rsidR="00E138A3" w:rsidRPr="00E138A3" w:rsidRDefault="002D4017" w:rsidP="00E138A3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contextualSpacing/>
        <w:rPr>
          <w:u w:val="single"/>
        </w:rPr>
      </w:pPr>
      <w:r>
        <w:rPr>
          <w:b/>
          <w:color w:val="42402C" w:themeColor="accent4" w:themeShade="80"/>
          <w:u w:val="single"/>
        </w:rPr>
        <w:t xml:space="preserve">AOP- 001 - PRIHODI POSLOVANJA </w:t>
      </w:r>
      <w:r>
        <w:rPr>
          <w:b/>
          <w:color w:val="42402C" w:themeColor="accent4" w:themeShade="80"/>
          <w:u w:val="single"/>
        </w:rPr>
        <w:tab/>
      </w:r>
      <w:r w:rsidR="00E138A3" w:rsidRPr="00E138A3">
        <w:rPr>
          <w:b/>
          <w:color w:val="42402C" w:themeColor="accent4" w:themeShade="80"/>
          <w:u w:val="single"/>
        </w:rPr>
        <w:t xml:space="preserve">Indeks </w:t>
      </w:r>
      <w:r w:rsidR="00657D76">
        <w:rPr>
          <w:b/>
          <w:color w:val="42402C" w:themeColor="accent4" w:themeShade="80"/>
          <w:u w:val="single"/>
        </w:rPr>
        <w:t>1</w:t>
      </w:r>
      <w:r w:rsidR="00F875CF">
        <w:rPr>
          <w:b/>
          <w:color w:val="42402C" w:themeColor="accent4" w:themeShade="80"/>
          <w:u w:val="single"/>
        </w:rPr>
        <w:t>08</w:t>
      </w:r>
      <w:r w:rsidR="00657D76">
        <w:rPr>
          <w:b/>
          <w:color w:val="42402C" w:themeColor="accent4" w:themeShade="80"/>
          <w:u w:val="single"/>
        </w:rPr>
        <w:t>,</w:t>
      </w:r>
      <w:r w:rsidR="00F875CF">
        <w:rPr>
          <w:b/>
          <w:color w:val="42402C" w:themeColor="accent4" w:themeShade="80"/>
          <w:u w:val="single"/>
        </w:rPr>
        <w:t>5</w:t>
      </w:r>
      <w:r w:rsidR="00657D76">
        <w:rPr>
          <w:b/>
          <w:color w:val="42402C" w:themeColor="accent4" w:themeShade="80"/>
          <w:u w:val="single"/>
        </w:rPr>
        <w:t>0</w:t>
      </w:r>
    </w:p>
    <w:p w:rsidR="00E138A3" w:rsidRPr="00E138A3" w:rsidRDefault="00E138A3" w:rsidP="00E138A3">
      <w:pPr>
        <w:tabs>
          <w:tab w:val="decimal" w:pos="7371"/>
          <w:tab w:val="decimal" w:pos="8789"/>
        </w:tabs>
        <w:spacing w:after="0"/>
        <w:rPr>
          <w:b/>
          <w:bCs/>
          <w:iCs/>
        </w:rPr>
      </w:pPr>
      <w:r w:rsidRPr="00E138A3">
        <w:rPr>
          <w:b/>
          <w:bCs/>
          <w:iCs/>
        </w:rPr>
        <w:t>OSTVARENI PRIHODI PRETHODNA GODINA</w:t>
      </w:r>
      <w:r w:rsidRPr="00E138A3">
        <w:rPr>
          <w:b/>
          <w:bCs/>
          <w:iCs/>
        </w:rPr>
        <w:tab/>
      </w:r>
      <w:r w:rsidR="00657D76">
        <w:rPr>
          <w:b/>
          <w:bCs/>
          <w:iCs/>
        </w:rPr>
        <w:t>3</w:t>
      </w:r>
      <w:r w:rsidR="002D4017">
        <w:rPr>
          <w:b/>
          <w:bCs/>
          <w:iCs/>
        </w:rPr>
        <w:t>85</w:t>
      </w:r>
      <w:r w:rsidR="00657D76">
        <w:rPr>
          <w:b/>
          <w:bCs/>
          <w:iCs/>
        </w:rPr>
        <w:t>.</w:t>
      </w:r>
      <w:r w:rsidR="002D4017">
        <w:rPr>
          <w:b/>
          <w:bCs/>
          <w:iCs/>
        </w:rPr>
        <w:t>782</w:t>
      </w:r>
      <w:r w:rsidR="00657D76">
        <w:rPr>
          <w:b/>
          <w:bCs/>
          <w:iCs/>
        </w:rPr>
        <w:t>.</w:t>
      </w:r>
      <w:r w:rsidR="002D4017">
        <w:rPr>
          <w:b/>
          <w:bCs/>
          <w:iCs/>
        </w:rPr>
        <w:t>362</w:t>
      </w:r>
      <w:r w:rsidR="007E6368" w:rsidRPr="007E6368">
        <w:rPr>
          <w:b/>
          <w:bCs/>
          <w:iCs/>
        </w:rPr>
        <w:t>,00 kuna</w:t>
      </w:r>
      <w:r w:rsidRPr="00E138A3">
        <w:rPr>
          <w:b/>
          <w:bCs/>
          <w:iCs/>
        </w:rPr>
        <w:tab/>
      </w:r>
    </w:p>
    <w:p w:rsidR="00E138A3" w:rsidRPr="00E138A3" w:rsidRDefault="00E138A3" w:rsidP="00E138A3">
      <w:pPr>
        <w:tabs>
          <w:tab w:val="decimal" w:pos="7371"/>
          <w:tab w:val="decimal" w:pos="8789"/>
        </w:tabs>
        <w:spacing w:after="120"/>
        <w:rPr>
          <w:b/>
          <w:bCs/>
          <w:iCs/>
        </w:rPr>
      </w:pPr>
      <w:r w:rsidRPr="00E138A3">
        <w:rPr>
          <w:b/>
          <w:bCs/>
          <w:iCs/>
        </w:rPr>
        <w:t>OSTVARENI PRIHODI TEKUĆA GODINA</w:t>
      </w:r>
      <w:r w:rsidRPr="00E138A3">
        <w:rPr>
          <w:b/>
          <w:bCs/>
          <w:iCs/>
        </w:rPr>
        <w:tab/>
      </w:r>
      <w:r w:rsidR="002D4017">
        <w:rPr>
          <w:b/>
          <w:bCs/>
          <w:iCs/>
        </w:rPr>
        <w:t>418</w:t>
      </w:r>
      <w:r w:rsidR="00657D76">
        <w:rPr>
          <w:b/>
          <w:bCs/>
          <w:iCs/>
        </w:rPr>
        <w:t>.</w:t>
      </w:r>
      <w:r w:rsidR="002D4017">
        <w:rPr>
          <w:b/>
          <w:bCs/>
          <w:iCs/>
        </w:rPr>
        <w:t>625</w:t>
      </w:r>
      <w:r w:rsidR="00657D76">
        <w:rPr>
          <w:b/>
          <w:bCs/>
          <w:iCs/>
        </w:rPr>
        <w:t>.</w:t>
      </w:r>
      <w:r w:rsidR="002D4017">
        <w:rPr>
          <w:b/>
          <w:bCs/>
          <w:iCs/>
        </w:rPr>
        <w:t>473</w:t>
      </w:r>
      <w:r w:rsidRPr="00E138A3">
        <w:rPr>
          <w:b/>
          <w:bCs/>
          <w:iCs/>
        </w:rPr>
        <w:t>,00</w:t>
      </w:r>
      <w:r w:rsidR="004F4F1A">
        <w:rPr>
          <w:b/>
          <w:bCs/>
          <w:iCs/>
        </w:rPr>
        <w:t xml:space="preserve"> kuna</w:t>
      </w:r>
    </w:p>
    <w:p w:rsidR="00E138A3" w:rsidRDefault="00E138A3" w:rsidP="00C05DAD">
      <w:pPr>
        <w:tabs>
          <w:tab w:val="decimal" w:pos="7371"/>
          <w:tab w:val="decimal" w:pos="8789"/>
        </w:tabs>
        <w:spacing w:before="120" w:after="0"/>
        <w:rPr>
          <w:bCs/>
          <w:iCs/>
        </w:rPr>
      </w:pPr>
      <w:r w:rsidRPr="00E138A3">
        <w:rPr>
          <w:bCs/>
          <w:iCs/>
        </w:rPr>
        <w:t>Pojedinačno analizirajući prihode poslovanja po pojedinim računima računskog plana zab</w:t>
      </w:r>
      <w:r w:rsidR="007E6368">
        <w:rPr>
          <w:bCs/>
          <w:iCs/>
        </w:rPr>
        <w:t>ilježena su sljedeća odstupanja:</w:t>
      </w:r>
    </w:p>
    <w:p w:rsidR="00C05DAD" w:rsidRPr="00E138A3" w:rsidRDefault="00C05DAD" w:rsidP="00226F63">
      <w:pPr>
        <w:pStyle w:val="ListParagraph"/>
        <w:spacing w:before="0" w:after="0"/>
      </w:pPr>
      <w:r>
        <w:t>AOP-057</w:t>
      </w:r>
      <w:r w:rsidRPr="00E138A3">
        <w:t xml:space="preserve"> - </w:t>
      </w:r>
      <w:r w:rsidRPr="00C05DAD">
        <w:t>POMOĆI OD IZVANPRORAČUNSKIH KORISNIKA</w:t>
      </w:r>
      <w:r w:rsidR="002D4017">
        <w:tab/>
      </w:r>
      <w:r w:rsidR="002D4017">
        <w:tab/>
      </w:r>
      <w:r w:rsidRPr="00E138A3">
        <w:t xml:space="preserve">Indeks </w:t>
      </w:r>
      <w:r w:rsidR="002D4017">
        <w:t>270,40</w:t>
      </w:r>
    </w:p>
    <w:p w:rsidR="002D4017" w:rsidRDefault="002D4017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2D4017" w:rsidRDefault="00DF555C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DF555C">
        <w:rPr>
          <w:noProof/>
          <w:lang w:eastAsia="hr-HR"/>
        </w:rPr>
        <w:drawing>
          <wp:inline distT="0" distB="0" distL="0" distR="0">
            <wp:extent cx="6645910" cy="78381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0A" w:rsidRDefault="00C05DAD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E138A3">
        <w:rPr>
          <w:bCs/>
          <w:iCs/>
        </w:rPr>
        <w:t xml:space="preserve">Tijekom </w:t>
      </w:r>
      <w:r w:rsidR="007E6368">
        <w:rPr>
          <w:bCs/>
          <w:iCs/>
        </w:rPr>
        <w:t>20</w:t>
      </w:r>
      <w:r w:rsidR="002D4017">
        <w:rPr>
          <w:bCs/>
          <w:iCs/>
        </w:rPr>
        <w:t>20</w:t>
      </w:r>
      <w:r>
        <w:rPr>
          <w:bCs/>
          <w:iCs/>
        </w:rPr>
        <w:t>.</w:t>
      </w:r>
      <w:r w:rsidRPr="00E138A3">
        <w:rPr>
          <w:bCs/>
          <w:iCs/>
        </w:rPr>
        <w:t xml:space="preserve"> godine</w:t>
      </w:r>
      <w:r>
        <w:rPr>
          <w:bCs/>
          <w:iCs/>
        </w:rPr>
        <w:t xml:space="preserve"> ostvareni su </w:t>
      </w:r>
      <w:r w:rsidR="005B530A">
        <w:rPr>
          <w:bCs/>
          <w:iCs/>
        </w:rPr>
        <w:t xml:space="preserve">značajno </w:t>
      </w:r>
      <w:r w:rsidR="002D4017">
        <w:rPr>
          <w:bCs/>
          <w:iCs/>
        </w:rPr>
        <w:t>već</w:t>
      </w:r>
      <w:r w:rsidR="005B530A">
        <w:rPr>
          <w:bCs/>
          <w:iCs/>
        </w:rPr>
        <w:t>i</w:t>
      </w:r>
      <w:r>
        <w:rPr>
          <w:bCs/>
          <w:iCs/>
        </w:rPr>
        <w:t xml:space="preserve"> prihodi od strane Hrvatskog zavoda za zapošljavanje</w:t>
      </w:r>
      <w:r w:rsidR="00F13588">
        <w:rPr>
          <w:bCs/>
          <w:iCs/>
        </w:rPr>
        <w:t xml:space="preserve"> u odnosu na 20</w:t>
      </w:r>
      <w:r w:rsidR="002D4017">
        <w:rPr>
          <w:bCs/>
          <w:iCs/>
        </w:rPr>
        <w:t>19</w:t>
      </w:r>
      <w:r w:rsidR="00F13588">
        <w:rPr>
          <w:bCs/>
          <w:iCs/>
        </w:rPr>
        <w:t>. godinu</w:t>
      </w:r>
      <w:r w:rsidR="002D4017">
        <w:rPr>
          <w:bCs/>
          <w:iCs/>
        </w:rPr>
        <w:t xml:space="preserve"> kroz financiranje mjera zapošljavanja zdravstvenih djelatnika – pripravnika. U odnosu na ranija razdoblja, HZZ je prestao financirati mjere stručnog osposobljavanja za rad bez zasnivanja radnog odnosa, jer je navedena mjera ukinuta s početkom 2020. godine.</w:t>
      </w:r>
      <w:r w:rsidR="00C9054E">
        <w:rPr>
          <w:bCs/>
          <w:iCs/>
        </w:rPr>
        <w:t xml:space="preserve"> Ostvareni su veći prihodi od Pomoći od izvanproračunskih korisnika u 2020. godini u odnosu na 2019. godinu u iznosu od 238.355,00 kn.</w:t>
      </w:r>
    </w:p>
    <w:p w:rsidR="00D33A51" w:rsidRDefault="00D33A51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E138A3" w:rsidRPr="00E138A3" w:rsidRDefault="00E138A3" w:rsidP="00226F63">
      <w:pPr>
        <w:pStyle w:val="ListParagraph"/>
        <w:spacing w:before="0" w:after="0"/>
      </w:pPr>
      <w:r w:rsidRPr="00E138A3">
        <w:t>AOP-0</w:t>
      </w:r>
      <w:r w:rsidR="00C05DAD">
        <w:t>63</w:t>
      </w:r>
      <w:r w:rsidRPr="00E138A3">
        <w:t xml:space="preserve"> - </w:t>
      </w:r>
      <w:r w:rsidR="00C05DAD" w:rsidRPr="00C05DAD">
        <w:t>POMOĆI PRORAČUNSKIM KORISNICIMA IZ PRORAČUNA KOJI IM NIJE NADLEŽAN</w:t>
      </w:r>
      <w:r w:rsidRPr="00E138A3">
        <w:tab/>
        <w:t xml:space="preserve">Indeks  </w:t>
      </w:r>
      <w:r w:rsidR="00DF555C">
        <w:t>666,10</w:t>
      </w:r>
    </w:p>
    <w:p w:rsidR="00DF555C" w:rsidRDefault="00DF555C" w:rsidP="00F82B60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DF555C" w:rsidRDefault="00DF555C" w:rsidP="00F82B60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DF555C">
        <w:rPr>
          <w:noProof/>
          <w:lang w:eastAsia="hr-HR"/>
        </w:rPr>
        <w:drawing>
          <wp:inline distT="0" distB="0" distL="0" distR="0">
            <wp:extent cx="6645910" cy="1142188"/>
            <wp:effectExtent l="0" t="0" r="254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4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DAD" w:rsidRDefault="00DF555C" w:rsidP="00F82B60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U 2020. godini, temeljem Ugovora o </w:t>
      </w:r>
      <w:r w:rsidRPr="00DF555C">
        <w:rPr>
          <w:bCs/>
          <w:iCs/>
        </w:rPr>
        <w:t>načinu utroška namjenskih financijskih sredstava između Ministarstva zdravstva i Zadarske županije KLASA: 401-01/20-1/8, URBROJ: 2198/1-01-20-</w:t>
      </w:r>
      <w:r>
        <w:rPr>
          <w:bCs/>
          <w:iCs/>
        </w:rPr>
        <w:t xml:space="preserve">2 od 13. studenoga 2020. godine, Općoj bolnici Zadar uplaćen je iznos od 34.115.625,00 kn, namijenjen </w:t>
      </w:r>
      <w:r w:rsidRPr="00DF555C">
        <w:rPr>
          <w:bCs/>
          <w:iCs/>
        </w:rPr>
        <w:t>u svrhu povećanja likvidnosti i radi sprječavanja obustave lijekova i zaštitne opreme</w:t>
      </w:r>
      <w:r>
        <w:rPr>
          <w:bCs/>
          <w:iCs/>
        </w:rPr>
        <w:t>. Uz navedenu namjensku uplatu, Općoj bolnici Zadar su također doznačena sredstva od strane Ministarstva zdravstva u sljedećim iznosima i za sljedeće namjene:</w:t>
      </w:r>
    </w:p>
    <w:p w:rsidR="00DF555C" w:rsidRDefault="00DF555C" w:rsidP="00ED0808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ind w:left="1077" w:hanging="357"/>
        <w:rPr>
          <w:b w:val="0"/>
          <w:i/>
          <w:color w:val="auto"/>
          <w:u w:val="none"/>
        </w:rPr>
      </w:pPr>
      <w:r w:rsidRPr="00DF555C">
        <w:rPr>
          <w:b w:val="0"/>
          <w:i/>
          <w:color w:val="auto"/>
          <w:u w:val="none"/>
        </w:rPr>
        <w:t>Servisiranje RTG uređaja za intervencijsku kardiologiju</w:t>
      </w:r>
      <w:r w:rsidR="00ED0808">
        <w:rPr>
          <w:i/>
          <w:color w:val="auto"/>
          <w:u w:val="none"/>
        </w:rPr>
        <w:tab/>
      </w:r>
      <w:r w:rsidRPr="00DF555C">
        <w:rPr>
          <w:b w:val="0"/>
          <w:i/>
          <w:color w:val="auto"/>
          <w:u w:val="none"/>
        </w:rPr>
        <w:t>401.880,00 kn</w:t>
      </w:r>
    </w:p>
    <w:p w:rsidR="00DF555C" w:rsidRPr="00DF555C" w:rsidRDefault="00DF555C" w:rsidP="00DF555C">
      <w:pPr>
        <w:pStyle w:val="ListParagraph"/>
        <w:numPr>
          <w:ilvl w:val="0"/>
          <w:numId w:val="0"/>
        </w:numPr>
        <w:tabs>
          <w:tab w:val="decimal" w:pos="4536"/>
          <w:tab w:val="decimal" w:pos="7938"/>
        </w:tabs>
        <w:spacing w:before="0" w:after="0"/>
        <w:ind w:left="1077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(Izmjena suglasnosti KLASA: 406-05/20-01/55, URBROJ: 534-05-3-1/4-20-12),</w:t>
      </w:r>
    </w:p>
    <w:p w:rsidR="00DF555C" w:rsidRPr="00ED0808" w:rsidRDefault="00ED0808" w:rsidP="00ED0808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ind w:left="1077" w:hanging="35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Usluge integracije bolničkog informacijskog sustava (BIS) s CEZIH-om</w:t>
      </w:r>
      <w:r>
        <w:rPr>
          <w:b w:val="0"/>
          <w:i/>
          <w:color w:val="auto"/>
          <w:u w:val="none"/>
        </w:rPr>
        <w:tab/>
        <w:t>150.000,00 kn</w:t>
      </w:r>
    </w:p>
    <w:p w:rsidR="00ED0808" w:rsidRPr="00ED0808" w:rsidRDefault="00ED0808" w:rsidP="00ED0808">
      <w:pPr>
        <w:pStyle w:val="ListParagraph"/>
        <w:numPr>
          <w:ilvl w:val="0"/>
          <w:numId w:val="0"/>
        </w:numPr>
        <w:tabs>
          <w:tab w:val="decimal" w:pos="4536"/>
          <w:tab w:val="decimal" w:pos="7938"/>
        </w:tabs>
        <w:spacing w:before="0" w:after="0"/>
        <w:ind w:left="107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(Izmjena suglasnosti KLASA: 406-05/20-01/133, URBROJ: 534-05-3-1/4-20-04),</w:t>
      </w:r>
    </w:p>
    <w:p w:rsidR="00ED0808" w:rsidRPr="00ED0808" w:rsidRDefault="00ED0808" w:rsidP="00ED0808">
      <w:pPr>
        <w:pStyle w:val="ListParagraph"/>
        <w:numPr>
          <w:ilvl w:val="0"/>
          <w:numId w:val="26"/>
        </w:numPr>
        <w:tabs>
          <w:tab w:val="decimal" w:pos="4536"/>
          <w:tab w:val="decimal" w:pos="8222"/>
        </w:tabs>
        <w:spacing w:before="0" w:after="0"/>
        <w:ind w:left="1077" w:hanging="35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Nabava Uređaja za višeslojnu kompjutoriziranu tomografiju (MSCT)</w:t>
      </w:r>
      <w:r>
        <w:rPr>
          <w:b w:val="0"/>
          <w:i/>
          <w:color w:val="auto"/>
          <w:u w:val="none"/>
        </w:rPr>
        <w:tab/>
        <w:t xml:space="preserve">                     5.098.120,00 kn</w:t>
      </w:r>
    </w:p>
    <w:p w:rsidR="00ED0808" w:rsidRPr="00ED0808" w:rsidRDefault="00ED0808" w:rsidP="00ED0808">
      <w:pPr>
        <w:pStyle w:val="ListParagraph"/>
        <w:numPr>
          <w:ilvl w:val="0"/>
          <w:numId w:val="0"/>
        </w:numPr>
        <w:tabs>
          <w:tab w:val="decimal" w:pos="4536"/>
          <w:tab w:val="decimal" w:pos="7938"/>
        </w:tabs>
        <w:spacing w:before="0" w:after="0"/>
        <w:ind w:left="107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(Suglasnost za financiranje KLASA: 406-05/20-1/55, URBROJ: 534-05-3-1/4-20-06),</w:t>
      </w:r>
    </w:p>
    <w:p w:rsidR="00ED0808" w:rsidRPr="00ED0808" w:rsidRDefault="00ED0808" w:rsidP="00ED0808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ind w:left="1077" w:hanging="35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Nabava Mamografa s digitalnom tomosintezom</w:t>
      </w:r>
      <w:r>
        <w:rPr>
          <w:b w:val="0"/>
          <w:i/>
          <w:color w:val="auto"/>
          <w:u w:val="none"/>
        </w:rPr>
        <w:tab/>
        <w:t xml:space="preserve">       1.799.875,00 kn</w:t>
      </w:r>
    </w:p>
    <w:p w:rsidR="00ED0808" w:rsidRDefault="00ED0808" w:rsidP="00ED0808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77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(Suglasnost za financiranje KLASA: 406-05/20-01/34, URBROJ: 534-05-3-1/4-20-02),</w:t>
      </w:r>
    </w:p>
    <w:p w:rsidR="00ED0808" w:rsidRPr="00ED0808" w:rsidRDefault="00ED0808" w:rsidP="00ED0808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ind w:left="1077" w:hanging="35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Nadogradnja sustava za EBUS</w:t>
      </w:r>
      <w:r>
        <w:rPr>
          <w:b w:val="0"/>
          <w:i/>
          <w:color w:val="auto"/>
          <w:u w:val="none"/>
        </w:rPr>
        <w:tab/>
      </w:r>
      <w:r>
        <w:rPr>
          <w:b w:val="0"/>
          <w:i/>
          <w:color w:val="auto"/>
          <w:u w:val="none"/>
        </w:rPr>
        <w:tab/>
        <w:t>1.223.633,83 kn</w:t>
      </w:r>
    </w:p>
    <w:p w:rsidR="00ED0808" w:rsidRPr="00ED0808" w:rsidRDefault="00ED0808" w:rsidP="00ED0808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7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(Suglasnost za financiranje KLASA: 406-05/20-01/117, URBROJ: 534-05-3-1/4-20-05),</w:t>
      </w:r>
    </w:p>
    <w:p w:rsidR="00ED0808" w:rsidRPr="00ED0808" w:rsidRDefault="00ED0808" w:rsidP="00ED0808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ind w:left="1077" w:hanging="35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Nabava Endoskopskih uređaja s dodatnom opremom</w:t>
      </w:r>
      <w:r>
        <w:rPr>
          <w:b w:val="0"/>
          <w:i/>
          <w:color w:val="auto"/>
          <w:u w:val="none"/>
        </w:rPr>
        <w:tab/>
        <w:t>997.206,34 kn</w:t>
      </w:r>
    </w:p>
    <w:p w:rsidR="00ED0808" w:rsidRPr="00ED0808" w:rsidRDefault="00ED0808" w:rsidP="00ED0808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7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(Suglasnost za financiranje KLASA: 406-05/20-01/117, URBROJ: 534-05-3-1/4-20-05),</w:t>
      </w:r>
    </w:p>
    <w:p w:rsidR="00ED0808" w:rsidRPr="00ED0808" w:rsidRDefault="00ED0808" w:rsidP="00ED0808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ind w:left="1077" w:hanging="35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t>Nabava Uređaja za sterilizaciju/autoklava</w:t>
      </w:r>
      <w:r>
        <w:rPr>
          <w:b w:val="0"/>
          <w:i/>
          <w:color w:val="auto"/>
          <w:u w:val="none"/>
        </w:rPr>
        <w:tab/>
        <w:t>1.648.102,50 kn</w:t>
      </w:r>
    </w:p>
    <w:p w:rsidR="00ED0808" w:rsidRPr="00ED0808" w:rsidRDefault="00ED0808" w:rsidP="00ED0808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77"/>
        <w:rPr>
          <w:b w:val="0"/>
          <w:color w:val="auto"/>
          <w:u w:val="none"/>
        </w:rPr>
      </w:pPr>
      <w:r>
        <w:rPr>
          <w:b w:val="0"/>
          <w:i/>
          <w:color w:val="auto"/>
          <w:u w:val="none"/>
        </w:rPr>
        <w:lastRenderedPageBreak/>
        <w:t>(Suglasnost za financiranje KLASA: 406-05/20-01/117, URBROJ: 534-05-3-1/4-20-05),</w:t>
      </w:r>
    </w:p>
    <w:p w:rsidR="00D33A51" w:rsidRDefault="008E715B" w:rsidP="00F82B60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>Općoj bolnici Zadar su u prvom i drugom kvartalu 2020. godine doznačena sredstva od strane mnogobrojnih općina i ostalih proračunskih korisnika u obliku tekućih i kapitalnih pomoći, od kojih je većina bila namijenjena kapitalnim ulaganjima, točnije nabavkama medicinske opreme u svrhu suzbijanja širenja zaraze bolesti COVID-19. U nastavku dajemo pregled doznačenih pomoći proračunskim korisnicima iz proračuna JLP(R)S u iznosima koje su doznačili Općoj bolnici Zadar u svrhu nabavke medicinske opreme za sprječavanje širenja zaraze bolesti COVID-19:</w:t>
      </w:r>
    </w:p>
    <w:tbl>
      <w:tblPr>
        <w:tblW w:w="5526" w:type="dxa"/>
        <w:tblInd w:w="1046" w:type="dxa"/>
        <w:tblLook w:val="04A0"/>
      </w:tblPr>
      <w:tblGrid>
        <w:gridCol w:w="2400"/>
        <w:gridCol w:w="960"/>
        <w:gridCol w:w="414"/>
        <w:gridCol w:w="1752"/>
      </w:tblGrid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Poličnik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2B50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1</w:t>
            </w:r>
            <w:r w:rsidR="002B5092"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9</w:t>
            </w: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.</w:t>
            </w:r>
            <w:r w:rsidR="002B5092"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420</w:t>
            </w: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Starigrad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5</w:t>
            </w:r>
            <w:r w:rsidR="008E715B"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0.000,00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Sukošan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10.000,00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Privlaka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50.000,00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Bibinje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20.000,00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Kukljica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10.000,00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Pakoštane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30.000,00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Polača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5.000,00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Gračac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5.000,00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Zemunik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13</w:t>
            </w:r>
            <w:r w:rsidR="008E715B"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.</w:t>
            </w: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9</w:t>
            </w:r>
            <w:r w:rsidR="008E715B"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00,00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Sv. Filip i Jakov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50.000,00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Sveučilište u Zadru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250.000,00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Nacionalni park Paklenica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75.000,00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Grad Nin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30.000,00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2B5092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Vir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50.000,00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8E715B" w:rsidRPr="008E715B" w:rsidTr="008D1BD9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Općina Galovac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15B" w:rsidRPr="008E715B" w:rsidRDefault="008E715B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</w:pPr>
            <w:r w:rsidRPr="008E715B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>3.000,00</w:t>
            </w:r>
            <w:r w:rsidR="002B5092">
              <w:rPr>
                <w:rFonts w:asciiTheme="majorHAnsi" w:eastAsia="Times New Roman" w:hAnsiTheme="majorHAnsi" w:cstheme="majorHAnsi"/>
                <w:i/>
                <w:color w:val="000000"/>
                <w:lang w:eastAsia="hr-HR"/>
              </w:rPr>
              <w:t xml:space="preserve"> kn</w:t>
            </w:r>
          </w:p>
        </w:tc>
      </w:tr>
      <w:tr w:rsidR="002B5092" w:rsidRPr="008E715B" w:rsidTr="008D1BD9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92" w:rsidRPr="002B5092" w:rsidRDefault="002B5092" w:rsidP="002B5092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b/>
                <w:i/>
                <w:color w:val="000000"/>
                <w:lang w:eastAsia="hr-HR"/>
              </w:rPr>
            </w:pPr>
            <w:r w:rsidRPr="002B5092">
              <w:rPr>
                <w:rFonts w:asciiTheme="majorHAnsi" w:eastAsia="Times New Roman" w:hAnsiTheme="majorHAnsi" w:cstheme="majorHAnsi"/>
                <w:b/>
                <w:i/>
                <w:color w:val="000000"/>
                <w:lang w:eastAsia="hr-HR"/>
              </w:rPr>
              <w:t>UKUPNO: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92" w:rsidRPr="002B5092" w:rsidRDefault="002B5092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b/>
                <w:i/>
                <w:color w:val="000000"/>
                <w:lang w:eastAsia="hr-H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92" w:rsidRPr="002B5092" w:rsidRDefault="002B5092" w:rsidP="008E715B">
            <w:pPr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b/>
                <w:i/>
                <w:lang w:eastAsia="hr-H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92" w:rsidRPr="002B5092" w:rsidRDefault="002B5092" w:rsidP="008E715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i/>
                <w:color w:val="00000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color w:val="000000"/>
                <w:lang w:eastAsia="hr-HR"/>
              </w:rPr>
              <w:t>671.320,00 kn</w:t>
            </w:r>
          </w:p>
        </w:tc>
      </w:tr>
    </w:tbl>
    <w:p w:rsidR="008E715B" w:rsidRDefault="008E715B" w:rsidP="00F82B60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2B5092" w:rsidRDefault="002B5092" w:rsidP="00F82B60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>Grad Zadar je Općoj bolnici Zadar također uplatio namjenska sredstva iz svog proračuna, a pregled tih uplata je dan u nastavku:</w:t>
      </w:r>
    </w:p>
    <w:p w:rsidR="002B5092" w:rsidRDefault="002B5092" w:rsidP="002B5092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ind w:left="1077" w:hanging="357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Adaptacija potkrovlja zgrade Službe za ginekologiju i opstetriciju</w:t>
      </w:r>
      <w:r>
        <w:rPr>
          <w:i/>
          <w:color w:val="auto"/>
          <w:u w:val="none"/>
        </w:rPr>
        <w:tab/>
      </w:r>
      <w:r>
        <w:rPr>
          <w:b w:val="0"/>
          <w:i/>
          <w:color w:val="auto"/>
          <w:u w:val="none"/>
        </w:rPr>
        <w:t>319</w:t>
      </w:r>
      <w:r w:rsidRPr="00DF555C">
        <w:rPr>
          <w:b w:val="0"/>
          <w:i/>
          <w:color w:val="auto"/>
          <w:u w:val="none"/>
        </w:rPr>
        <w:t>.</w:t>
      </w:r>
      <w:r>
        <w:rPr>
          <w:b w:val="0"/>
          <w:i/>
          <w:color w:val="auto"/>
          <w:u w:val="none"/>
        </w:rPr>
        <w:t>142</w:t>
      </w:r>
      <w:r w:rsidRPr="00DF555C">
        <w:rPr>
          <w:b w:val="0"/>
          <w:i/>
          <w:color w:val="auto"/>
          <w:u w:val="none"/>
        </w:rPr>
        <w:t>,</w:t>
      </w:r>
      <w:r>
        <w:rPr>
          <w:b w:val="0"/>
          <w:i/>
          <w:color w:val="auto"/>
          <w:u w:val="none"/>
        </w:rPr>
        <w:t>50</w:t>
      </w:r>
      <w:r w:rsidRPr="00DF555C">
        <w:rPr>
          <w:b w:val="0"/>
          <w:i/>
          <w:color w:val="auto"/>
          <w:u w:val="none"/>
        </w:rPr>
        <w:t xml:space="preserve"> kn</w:t>
      </w:r>
      <w:r>
        <w:rPr>
          <w:b w:val="0"/>
          <w:i/>
          <w:color w:val="auto"/>
          <w:u w:val="none"/>
        </w:rPr>
        <w:t>,</w:t>
      </w:r>
    </w:p>
    <w:p w:rsidR="002B5092" w:rsidRDefault="002B5092" w:rsidP="002B5092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ind w:left="1077" w:hanging="357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Nabavka respiratora (Sporazum o financiranju kupnje respiratora</w:t>
      </w:r>
    </w:p>
    <w:p w:rsidR="002B5092" w:rsidRDefault="002B5092" w:rsidP="002B5092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77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URBROJ: 02-1789/20-1/20)</w:t>
      </w:r>
      <w:r>
        <w:rPr>
          <w:b w:val="0"/>
          <w:i/>
          <w:color w:val="auto"/>
          <w:u w:val="none"/>
        </w:rPr>
        <w:tab/>
      </w:r>
      <w:r>
        <w:rPr>
          <w:b w:val="0"/>
          <w:i/>
          <w:color w:val="auto"/>
          <w:u w:val="none"/>
        </w:rPr>
        <w:tab/>
        <w:t>987.300,00 kn</w:t>
      </w:r>
      <w:r w:rsidR="00432ED2">
        <w:rPr>
          <w:b w:val="0"/>
          <w:i/>
          <w:color w:val="auto"/>
          <w:u w:val="none"/>
        </w:rPr>
        <w:t>.</w:t>
      </w:r>
    </w:p>
    <w:p w:rsidR="008E715B" w:rsidRDefault="008E715B" w:rsidP="00F82B60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C9054E" w:rsidRDefault="00C9054E" w:rsidP="00F82B60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>Sveukupno su ostvareni veći prihodi od pomoći proračunskim korisnicima iz proračuna koji im nije nadležan u 2020. godini za 40.808.157,00 kn.</w:t>
      </w:r>
    </w:p>
    <w:p w:rsidR="00C9054E" w:rsidRDefault="00C9054E" w:rsidP="00F82B60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E138A3" w:rsidRPr="00E138A3" w:rsidRDefault="000E12DA" w:rsidP="00226F63">
      <w:pPr>
        <w:pStyle w:val="ListParagraph"/>
        <w:spacing w:before="0" w:after="0"/>
      </w:pPr>
      <w:r>
        <w:t>AOP-066</w:t>
      </w:r>
      <w:r w:rsidR="00E138A3" w:rsidRPr="00E138A3">
        <w:t xml:space="preserve"> - </w:t>
      </w:r>
      <w:r w:rsidRPr="000E12DA">
        <w:t>POMOĆI TEMELJEM PRIJENOSA  EU SREDSTAVA</w:t>
      </w:r>
      <w:r w:rsidR="00F875CF">
        <w:tab/>
      </w:r>
      <w:r w:rsidR="00F875CF">
        <w:tab/>
      </w:r>
      <w:r w:rsidR="005B530A">
        <w:t xml:space="preserve">indeks </w:t>
      </w:r>
      <w:r w:rsidR="00F875CF">
        <w:t>714</w:t>
      </w:r>
      <w:r w:rsidR="00E86D9F">
        <w:t>,</w:t>
      </w:r>
      <w:r w:rsidR="00F875CF">
        <w:t>8</w:t>
      </w:r>
    </w:p>
    <w:p w:rsidR="00C9054E" w:rsidRDefault="00C9054E" w:rsidP="00E86D9F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C9054E" w:rsidRDefault="00C9054E" w:rsidP="00E86D9F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C9054E">
        <w:rPr>
          <w:noProof/>
          <w:lang w:eastAsia="hr-HR"/>
        </w:rPr>
        <w:drawing>
          <wp:inline distT="0" distB="0" distL="0" distR="0">
            <wp:extent cx="6645910" cy="943725"/>
            <wp:effectExtent l="0" t="0" r="254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4E" w:rsidRDefault="00C9054E" w:rsidP="00E86D9F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>Kroz 2020. godinu iskazani su značajno veći prihodi od Pomoći temeljem prijenosa EU sredstava, a koji se redom odnose na sljedeće projekte financirane kroz EU fondove unutar Opće bolnice Zadar:</w:t>
      </w:r>
    </w:p>
    <w:p w:rsidR="00C9054E" w:rsidRDefault="00C9054E" w:rsidP="00C9054E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 xml:space="preserve">Projekt </w:t>
      </w:r>
      <w:r w:rsidRPr="00C9054E">
        <w:rPr>
          <w:b w:val="0"/>
          <w:i/>
          <w:color w:val="auto"/>
          <w:u w:val="none"/>
        </w:rPr>
        <w:t xml:space="preserve">"Izgradnja i opremanje dnevnih bolnica Odjela </w:t>
      </w:r>
    </w:p>
    <w:p w:rsidR="00C9054E" w:rsidRDefault="00C9054E" w:rsidP="00C9054E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 w:rsidRPr="00C9054E">
        <w:rPr>
          <w:b w:val="0"/>
          <w:i/>
          <w:color w:val="auto"/>
          <w:u w:val="none"/>
        </w:rPr>
        <w:t>za pulmologiju, onkologiju</w:t>
      </w:r>
      <w:r>
        <w:rPr>
          <w:b w:val="0"/>
          <w:i/>
          <w:color w:val="auto"/>
          <w:u w:val="none"/>
        </w:rPr>
        <w:t>, infektologiju i dermatologiju</w:t>
      </w:r>
    </w:p>
    <w:p w:rsidR="00C9054E" w:rsidRDefault="00C9054E" w:rsidP="00C9054E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 w:rsidRPr="00C9054E">
        <w:rPr>
          <w:b w:val="0"/>
          <w:i/>
          <w:color w:val="auto"/>
          <w:u w:val="none"/>
        </w:rPr>
        <w:t xml:space="preserve">Opće bolnice Zadar te adaptacija i opremanje dnevne </w:t>
      </w:r>
    </w:p>
    <w:p w:rsidR="00C9054E" w:rsidRDefault="00C9054E" w:rsidP="00C9054E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 w:rsidRPr="00C9054E">
        <w:rPr>
          <w:b w:val="0"/>
          <w:i/>
          <w:color w:val="auto"/>
          <w:u w:val="none"/>
        </w:rPr>
        <w:t>bolnice Službe za kirurgiju"</w:t>
      </w:r>
      <w:r>
        <w:rPr>
          <w:i/>
          <w:color w:val="auto"/>
          <w:u w:val="none"/>
        </w:rPr>
        <w:tab/>
      </w:r>
      <w:r>
        <w:rPr>
          <w:i/>
          <w:color w:val="auto"/>
          <w:u w:val="none"/>
        </w:rPr>
        <w:tab/>
      </w:r>
      <w:r>
        <w:rPr>
          <w:b w:val="0"/>
          <w:i/>
          <w:color w:val="auto"/>
          <w:u w:val="none"/>
        </w:rPr>
        <w:t>11.848.797,71</w:t>
      </w:r>
      <w:r w:rsidRPr="00DF555C">
        <w:rPr>
          <w:b w:val="0"/>
          <w:i/>
          <w:color w:val="auto"/>
          <w:u w:val="none"/>
        </w:rPr>
        <w:t xml:space="preserve"> kn</w:t>
      </w:r>
      <w:r>
        <w:rPr>
          <w:b w:val="0"/>
          <w:i/>
          <w:color w:val="auto"/>
          <w:u w:val="none"/>
        </w:rPr>
        <w:t>,</w:t>
      </w:r>
    </w:p>
    <w:p w:rsidR="00C9054E" w:rsidRDefault="00C9054E" w:rsidP="00C9054E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 xml:space="preserve">Projekt </w:t>
      </w:r>
      <w:r w:rsidRPr="00C9054E">
        <w:rPr>
          <w:b w:val="0"/>
          <w:i/>
          <w:color w:val="auto"/>
          <w:u w:val="none"/>
        </w:rPr>
        <w:t>"</w:t>
      </w:r>
      <w:r>
        <w:rPr>
          <w:b w:val="0"/>
          <w:i/>
          <w:color w:val="auto"/>
          <w:u w:val="none"/>
        </w:rPr>
        <w:t>Vaša sigurnost je u našim rukama</w:t>
      </w:r>
      <w:r w:rsidRPr="00C9054E">
        <w:rPr>
          <w:b w:val="0"/>
          <w:i/>
          <w:color w:val="auto"/>
          <w:u w:val="none"/>
        </w:rPr>
        <w:t>"</w:t>
      </w:r>
      <w:r>
        <w:rPr>
          <w:i/>
          <w:color w:val="auto"/>
          <w:u w:val="none"/>
        </w:rPr>
        <w:tab/>
      </w:r>
      <w:r w:rsidRPr="00C9054E">
        <w:rPr>
          <w:b w:val="0"/>
          <w:i/>
          <w:color w:val="auto"/>
          <w:u w:val="none"/>
        </w:rPr>
        <w:t>457</w:t>
      </w:r>
      <w:r>
        <w:rPr>
          <w:b w:val="0"/>
          <w:i/>
          <w:color w:val="auto"/>
          <w:u w:val="none"/>
        </w:rPr>
        <w:t>.046,00</w:t>
      </w:r>
      <w:r w:rsidRPr="00DF555C">
        <w:rPr>
          <w:b w:val="0"/>
          <w:i/>
          <w:color w:val="auto"/>
          <w:u w:val="none"/>
        </w:rPr>
        <w:t xml:space="preserve"> kn</w:t>
      </w:r>
      <w:r>
        <w:rPr>
          <w:b w:val="0"/>
          <w:i/>
          <w:color w:val="auto"/>
          <w:u w:val="none"/>
        </w:rPr>
        <w:t>,</w:t>
      </w:r>
    </w:p>
    <w:p w:rsidR="00C9054E" w:rsidRDefault="00C9054E" w:rsidP="00C9054E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Projekt „</w:t>
      </w:r>
      <w:r w:rsidRPr="00C9054E">
        <w:rPr>
          <w:b w:val="0"/>
          <w:i/>
          <w:color w:val="auto"/>
          <w:u w:val="none"/>
        </w:rPr>
        <w:t xml:space="preserve">Unaprjeđenje laboratorija i sustava </w:t>
      </w:r>
    </w:p>
    <w:p w:rsidR="00C9054E" w:rsidRDefault="00C9054E" w:rsidP="00C9054E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 w:rsidRPr="00C9054E">
        <w:rPr>
          <w:b w:val="0"/>
          <w:i/>
          <w:color w:val="auto"/>
          <w:u w:val="none"/>
        </w:rPr>
        <w:t>laboratorijske dijagnostike LAB-OP</w:t>
      </w:r>
      <w:r w:rsidR="00432ED2">
        <w:rPr>
          <w:b w:val="0"/>
          <w:i/>
          <w:color w:val="auto"/>
          <w:u w:val="none"/>
        </w:rPr>
        <w:t>“</w:t>
      </w:r>
      <w:r w:rsidR="00432ED2">
        <w:rPr>
          <w:b w:val="0"/>
          <w:i/>
          <w:color w:val="auto"/>
          <w:u w:val="none"/>
        </w:rPr>
        <w:tab/>
      </w:r>
      <w:r w:rsidR="00432ED2">
        <w:rPr>
          <w:b w:val="0"/>
          <w:i/>
          <w:color w:val="auto"/>
          <w:u w:val="none"/>
        </w:rPr>
        <w:tab/>
        <w:t>545.065,85 kn.</w:t>
      </w:r>
    </w:p>
    <w:p w:rsidR="00C9054E" w:rsidRDefault="00C9054E" w:rsidP="00C9054E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</w:p>
    <w:p w:rsidR="00BC6B73" w:rsidRDefault="00BC6B73" w:rsidP="00E86D9F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Dio prihoda u iznosu od 620.463,00 kn odnosi se na financiranje zapošljavanja zdravstvenih djelatnika-pripravnika i dijelom osoba koje su bile na stručnom osposobljavanju bez zasnivanja radnog odnosa (osoba čije je pripravništvo </w:t>
      </w:r>
      <w:r>
        <w:rPr>
          <w:bCs/>
          <w:iCs/>
        </w:rPr>
        <w:lastRenderedPageBreak/>
        <w:t>započelo u 2019. godini i završilo u 2020. godini), a koji je financiran iz EU fondova od strane Hrvatskog zavoda za zapošljavanje. Na stavci Pomoći temeljem prijenosa EU sredstava su u 2020. godini ostvareni veći prihodi u iznosu od 11.586.760,00 kn u odnosu na godinu ranije.</w:t>
      </w:r>
    </w:p>
    <w:p w:rsidR="00C9054E" w:rsidRDefault="00C9054E" w:rsidP="00E86D9F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BC6B73" w:rsidRPr="00E138A3" w:rsidRDefault="00BC6B73" w:rsidP="00BC6B73">
      <w:pPr>
        <w:pStyle w:val="ListParagraph"/>
        <w:spacing w:before="0" w:after="0"/>
      </w:pPr>
      <w:r>
        <w:t>AOP-069</w:t>
      </w:r>
      <w:r w:rsidRPr="00E138A3">
        <w:t xml:space="preserve"> </w:t>
      </w:r>
      <w:r>
        <w:t>–</w:t>
      </w:r>
      <w:r w:rsidRPr="00E138A3">
        <w:t xml:space="preserve"> </w:t>
      </w:r>
      <w:r w:rsidRPr="000E12DA">
        <w:t>P</w:t>
      </w:r>
      <w:r>
        <w:t>RIJENOSI IZMEĐU PRORAČUNSKIH KORISNIKA ISTOG PRORAČUNA indeks -</w:t>
      </w:r>
    </w:p>
    <w:p w:rsidR="00BC6B73" w:rsidRDefault="00BC6B73" w:rsidP="00E86D9F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BC6B73" w:rsidRDefault="00BC6B73" w:rsidP="00E86D9F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BC6B73">
        <w:rPr>
          <w:noProof/>
          <w:lang w:eastAsia="hr-HR"/>
        </w:rPr>
        <w:drawing>
          <wp:inline distT="0" distB="0" distL="0" distR="0">
            <wp:extent cx="6645910" cy="1616283"/>
            <wp:effectExtent l="0" t="0" r="254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4E" w:rsidRDefault="00BC6B73" w:rsidP="00E86D9F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Opća bolnica Zadar je u odnosu na 2019. godinu ostvarila 82.537,00 kn više na stavci Prijenosi između proračunskih korisnika istog proračuna, a koji se odnosi na Projekt </w:t>
      </w:r>
      <w:r w:rsidR="00C9054E" w:rsidRPr="00BC6B73">
        <w:rPr>
          <w:i/>
        </w:rPr>
        <w:t>„Prevencija i rano otkrivanje za efikasnije liječenje</w:t>
      </w:r>
      <w:r>
        <w:rPr>
          <w:bCs/>
          <w:iCs/>
        </w:rPr>
        <w:t xml:space="preserve"> </w:t>
      </w:r>
      <w:r w:rsidR="00C9054E" w:rsidRPr="00BC6B73">
        <w:rPr>
          <w:i/>
        </w:rPr>
        <w:t>karcinoma debelog crijeva i dojki ON-TIME</w:t>
      </w:r>
      <w:r>
        <w:rPr>
          <w:i/>
        </w:rPr>
        <w:t>“</w:t>
      </w:r>
      <w:r>
        <w:t>, čiji je nositelj projekta Zavod za javno zdravstvo Zadar, a Opća bolnica Zadar je partner u sklopu navedenog projekta.</w:t>
      </w:r>
    </w:p>
    <w:p w:rsidR="00C9054E" w:rsidRDefault="00C9054E" w:rsidP="00E86D9F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5B530A" w:rsidRPr="00E138A3" w:rsidRDefault="005B530A" w:rsidP="005B530A">
      <w:pPr>
        <w:pStyle w:val="ListParagraph"/>
        <w:spacing w:before="0" w:after="0"/>
      </w:pPr>
      <w:r>
        <w:t>AOP-075</w:t>
      </w:r>
      <w:r w:rsidRPr="00E138A3">
        <w:t xml:space="preserve"> - </w:t>
      </w:r>
      <w:r w:rsidRPr="005B530A">
        <w:t xml:space="preserve">PRIHODI OD FINANCIJSKE IMOVINE (AOP 076 DO 082) </w:t>
      </w:r>
      <w:r w:rsidR="00F875CF">
        <w:tab/>
      </w:r>
      <w:r>
        <w:t xml:space="preserve">indeks </w:t>
      </w:r>
      <w:r w:rsidR="00F875CF">
        <w:t>80</w:t>
      </w:r>
      <w:r>
        <w:t>,</w:t>
      </w:r>
      <w:r w:rsidR="00F875CF">
        <w:t>4</w:t>
      </w:r>
    </w:p>
    <w:p w:rsidR="00BC6B73" w:rsidRDefault="00BC6B73" w:rsidP="00F60DDF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BC6B73" w:rsidRDefault="00BC6B73" w:rsidP="00F60DDF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BC6B73">
        <w:rPr>
          <w:noProof/>
          <w:lang w:eastAsia="hr-HR"/>
        </w:rPr>
        <w:drawing>
          <wp:inline distT="0" distB="0" distL="0" distR="0">
            <wp:extent cx="6645910" cy="1921666"/>
            <wp:effectExtent l="0" t="0" r="254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0A" w:rsidRDefault="005B530A" w:rsidP="00F60DDF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>U 20</w:t>
      </w:r>
      <w:r w:rsidR="00BC6B73">
        <w:rPr>
          <w:bCs/>
          <w:iCs/>
        </w:rPr>
        <w:t>20</w:t>
      </w:r>
      <w:r w:rsidRPr="00E138A3">
        <w:rPr>
          <w:bCs/>
          <w:iCs/>
        </w:rPr>
        <w:t xml:space="preserve">. godini </w:t>
      </w:r>
      <w:r w:rsidR="00BC6B73">
        <w:rPr>
          <w:bCs/>
          <w:iCs/>
        </w:rPr>
        <w:t xml:space="preserve">nastavljen je trend smanjenja </w:t>
      </w:r>
      <w:r>
        <w:rPr>
          <w:bCs/>
          <w:iCs/>
        </w:rPr>
        <w:t>ostvareni</w:t>
      </w:r>
      <w:r w:rsidR="00BC6B73">
        <w:rPr>
          <w:bCs/>
          <w:iCs/>
        </w:rPr>
        <w:t>h</w:t>
      </w:r>
      <w:r>
        <w:rPr>
          <w:bCs/>
          <w:iCs/>
        </w:rPr>
        <w:t xml:space="preserve"> prihod</w:t>
      </w:r>
      <w:r w:rsidR="00BC6B73">
        <w:rPr>
          <w:bCs/>
          <w:iCs/>
        </w:rPr>
        <w:t>a</w:t>
      </w:r>
      <w:r>
        <w:rPr>
          <w:bCs/>
          <w:iCs/>
        </w:rPr>
        <w:t xml:space="preserve"> od </w:t>
      </w:r>
      <w:r w:rsidR="00821761">
        <w:rPr>
          <w:bCs/>
          <w:iCs/>
        </w:rPr>
        <w:t>kamata na oročena sredstva i depozit</w:t>
      </w:r>
      <w:r w:rsidR="00BC6B73">
        <w:rPr>
          <w:bCs/>
          <w:iCs/>
        </w:rPr>
        <w:t>a</w:t>
      </w:r>
      <w:r w:rsidR="00821761">
        <w:rPr>
          <w:bCs/>
          <w:iCs/>
        </w:rPr>
        <w:t xml:space="preserve"> po viđenju</w:t>
      </w:r>
      <w:r w:rsidR="00235BC4">
        <w:rPr>
          <w:bCs/>
          <w:iCs/>
        </w:rPr>
        <w:t>,</w:t>
      </w:r>
      <w:r w:rsidR="00BC6B73">
        <w:rPr>
          <w:bCs/>
          <w:iCs/>
        </w:rPr>
        <w:t xml:space="preserve"> te prihoda od zateznih kamata</w:t>
      </w:r>
      <w:r>
        <w:rPr>
          <w:bCs/>
          <w:iCs/>
        </w:rPr>
        <w:t>. Ukupna razlika prihoda od nefinancijske imovine iznosi</w:t>
      </w:r>
      <w:r w:rsidR="00BC6B73">
        <w:rPr>
          <w:bCs/>
          <w:iCs/>
        </w:rPr>
        <w:t xml:space="preserve"> 2.035</w:t>
      </w:r>
      <w:r w:rsidR="00DB07EB">
        <w:rPr>
          <w:bCs/>
          <w:iCs/>
        </w:rPr>
        <w:t>,00 kuna (pad prihoda od 19,6% u odnosu na 2019. godinu).</w:t>
      </w:r>
    </w:p>
    <w:p w:rsidR="00D33A51" w:rsidRDefault="00D33A51" w:rsidP="00F60DDF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F875CF" w:rsidRDefault="00F875CF" w:rsidP="00F875CF">
      <w:pPr>
        <w:pStyle w:val="ListParagraph"/>
        <w:spacing w:before="0" w:after="0"/>
      </w:pPr>
      <w:r>
        <w:t>AOP-111</w:t>
      </w:r>
      <w:r w:rsidRPr="00E138A3">
        <w:t xml:space="preserve"> - </w:t>
      </w:r>
      <w:r w:rsidRPr="005B530A">
        <w:t xml:space="preserve">PRIHODI </w:t>
      </w:r>
      <w:r>
        <w:t>PO POSEBNIM PROPISIMA</w:t>
      </w:r>
      <w:r w:rsidRPr="005B530A">
        <w:t xml:space="preserve"> (AOP </w:t>
      </w:r>
      <w:r>
        <w:t>112 DO 118)</w:t>
      </w:r>
      <w:r>
        <w:tab/>
        <w:t>indeks 81,6</w:t>
      </w:r>
    </w:p>
    <w:p w:rsidR="00E415DD" w:rsidRDefault="00E415DD" w:rsidP="00D64AFA">
      <w:pPr>
        <w:spacing w:after="0"/>
      </w:pPr>
    </w:p>
    <w:p w:rsidR="00E415DD" w:rsidRDefault="00E415DD" w:rsidP="00D64AFA">
      <w:pPr>
        <w:spacing w:after="0"/>
      </w:pPr>
      <w:r w:rsidRPr="00E415DD">
        <w:rPr>
          <w:noProof/>
          <w:lang w:eastAsia="hr-HR"/>
        </w:rPr>
        <w:drawing>
          <wp:inline distT="0" distB="0" distL="0" distR="0">
            <wp:extent cx="6645910" cy="693495"/>
            <wp:effectExtent l="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51" w:rsidRDefault="00C24334" w:rsidP="00D64AFA">
      <w:pPr>
        <w:spacing w:after="0"/>
      </w:pPr>
      <w:r w:rsidRPr="00C24334">
        <w:t>Smanjenje kapaciteta rada</w:t>
      </w:r>
      <w:r>
        <w:t xml:space="preserve"> zbog izbijanja epidemije bolesti COVID-19</w:t>
      </w:r>
      <w:r w:rsidRPr="00C24334">
        <w:t xml:space="preserve"> uzrokovalo je značajan pad pojedinih vrsta prihoda (onih koji nisu vezani uz paušalnu upla</w:t>
      </w:r>
      <w:r>
        <w:t xml:space="preserve">tu „limita“) pa je tako Opća bolnica Zadar u 2020. godini </w:t>
      </w:r>
      <w:r w:rsidRPr="00C24334">
        <w:t>ostvarila manje prihode od onih u 2019. godini</w:t>
      </w:r>
      <w:r w:rsidR="00235BC4">
        <w:t>:</w:t>
      </w:r>
      <w:r w:rsidRPr="00C24334">
        <w:t xml:space="preserve"> od</w:t>
      </w:r>
      <w:r>
        <w:t xml:space="preserve"> Dopunskog zdravstvenog osiguranja 6.566.637,00 </w:t>
      </w:r>
      <w:r w:rsidR="00235BC4">
        <w:rPr>
          <w:bCs/>
          <w:iCs/>
        </w:rPr>
        <w:t xml:space="preserve">kuna </w:t>
      </w:r>
      <w:r>
        <w:t xml:space="preserve">manje, Participacije od SKZ-a i dijagnostike 274.930,00 </w:t>
      </w:r>
      <w:r w:rsidR="00235BC4">
        <w:rPr>
          <w:bCs/>
          <w:iCs/>
        </w:rPr>
        <w:t xml:space="preserve">kuna </w:t>
      </w:r>
      <w:r>
        <w:t xml:space="preserve">manje i Participacije za stacionar 221.495,00 </w:t>
      </w:r>
      <w:r w:rsidR="00235BC4">
        <w:rPr>
          <w:bCs/>
          <w:iCs/>
        </w:rPr>
        <w:t xml:space="preserve">kuna </w:t>
      </w:r>
      <w:r>
        <w:t>manje.</w:t>
      </w:r>
      <w:r w:rsidR="00DB07EB">
        <w:t xml:space="preserve"> Ukupno smanjenje prihoda po posebnim propisima u 2020. godini u odnosu na 2019. godinu iznosi 6.221.392,00 </w:t>
      </w:r>
      <w:r w:rsidR="00235BC4">
        <w:rPr>
          <w:bCs/>
          <w:iCs/>
        </w:rPr>
        <w:t xml:space="preserve">kuna </w:t>
      </w:r>
      <w:r w:rsidR="00DB07EB">
        <w:t>manje (odnosno pad prihoda od 18,4%).</w:t>
      </w:r>
    </w:p>
    <w:p w:rsidR="00C24334" w:rsidRDefault="00C24334" w:rsidP="00D64AFA">
      <w:pPr>
        <w:spacing w:after="0"/>
      </w:pPr>
    </w:p>
    <w:p w:rsidR="00DB07EB" w:rsidRDefault="00DB07EB" w:rsidP="00D64AFA">
      <w:pPr>
        <w:spacing w:after="0"/>
      </w:pPr>
    </w:p>
    <w:p w:rsidR="00DB07EB" w:rsidRDefault="00DB07EB" w:rsidP="00D64AFA">
      <w:pPr>
        <w:spacing w:after="0"/>
      </w:pPr>
    </w:p>
    <w:p w:rsidR="00F875CF" w:rsidRDefault="00F875CF" w:rsidP="00F875CF">
      <w:pPr>
        <w:pStyle w:val="ListParagraph"/>
        <w:spacing w:before="0" w:after="0"/>
      </w:pPr>
      <w:r>
        <w:lastRenderedPageBreak/>
        <w:t>AOP-124</w:t>
      </w:r>
      <w:r w:rsidRPr="00E138A3">
        <w:t xml:space="preserve"> - </w:t>
      </w:r>
      <w:r w:rsidRPr="005B530A">
        <w:t xml:space="preserve">PRIHODI OD </w:t>
      </w:r>
      <w:r>
        <w:t>PRODAJE PROIZVODA I ROBE TE PRUŽENIH USLUGA</w:t>
      </w:r>
      <w:r w:rsidRPr="005B530A">
        <w:t xml:space="preserve"> (AOP </w:t>
      </w:r>
      <w:r>
        <w:t>125+126</w:t>
      </w:r>
      <w:r w:rsidRPr="005B530A">
        <w:t xml:space="preserve">) </w:t>
      </w:r>
      <w:r w:rsidR="00C17EC9">
        <w:t>indeks 71</w:t>
      </w:r>
      <w:r>
        <w:t>,</w:t>
      </w:r>
      <w:r w:rsidR="00C17EC9">
        <w:t>3</w:t>
      </w:r>
    </w:p>
    <w:p w:rsidR="00C24334" w:rsidRDefault="00C24334" w:rsidP="00D64AFA">
      <w:pPr>
        <w:spacing w:after="0"/>
      </w:pPr>
    </w:p>
    <w:p w:rsidR="00DB07EB" w:rsidRDefault="00DB07EB" w:rsidP="00D64AFA">
      <w:pPr>
        <w:spacing w:after="0"/>
      </w:pPr>
      <w:r w:rsidRPr="00DB07EB">
        <w:rPr>
          <w:noProof/>
          <w:lang w:eastAsia="hr-HR"/>
        </w:rPr>
        <w:drawing>
          <wp:inline distT="0" distB="0" distL="0" distR="0">
            <wp:extent cx="6645910" cy="791034"/>
            <wp:effectExtent l="0" t="0" r="254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7EB" w:rsidRDefault="004F3397" w:rsidP="00DB07EB">
      <w:pPr>
        <w:spacing w:after="0"/>
      </w:pPr>
      <w:r>
        <w:t xml:space="preserve">Osim značajnog pada prihoda po posebnim propisima, Opća bolnica Zadar je smanjenjem kapaciteta rada zbog izbijanja epidemije bolesti COVID-19 ostvarila i značajan pad prihoda od prodaje proizvoda i robe te pruženih usluga. Najznačajniji pad se odnosi na Prihode od sistematskih pregleda, gdje je Opća bolnica Zadar ostvarila 1.014.650,00 </w:t>
      </w:r>
      <w:r w:rsidR="00235BC4">
        <w:rPr>
          <w:bCs/>
          <w:iCs/>
        </w:rPr>
        <w:t xml:space="preserve">kuna </w:t>
      </w:r>
      <w:r>
        <w:t xml:space="preserve">manje prihode u 2020. godini u odnosu na 2019. godinu, potom na Prihode od privatnih osiguravatelja iz inozemstva u iznosu od 1.311.207,00 </w:t>
      </w:r>
      <w:r w:rsidR="00235BC4">
        <w:rPr>
          <w:bCs/>
          <w:iCs/>
        </w:rPr>
        <w:t>kuna</w:t>
      </w:r>
      <w:r>
        <w:t>, Prihode za od pruženih usluga drugim zdravstvenim ustanovama u iznosu od 264.946,00 kn, Prihode od neosiguranih osoba (SKZ-a i dijagnostika) u iznosu od 296.601,00 kn, Prihode od neosiguranih osoba – građana (stacionar) u iznosu od 162.704,00 kn</w:t>
      </w:r>
      <w:r w:rsidR="005B1DE8">
        <w:t>,</w:t>
      </w:r>
      <w:r>
        <w:t xml:space="preserve"> te Prihode od domaćih privatnih osiguravatelja u iznosu od 161.246,00 </w:t>
      </w:r>
      <w:r w:rsidR="00235BC4">
        <w:rPr>
          <w:bCs/>
          <w:iCs/>
        </w:rPr>
        <w:t>kuna</w:t>
      </w:r>
      <w:r>
        <w:t>.</w:t>
      </w:r>
    </w:p>
    <w:p w:rsidR="00C24334" w:rsidRDefault="004F3397" w:rsidP="00D64AFA">
      <w:pPr>
        <w:spacing w:after="0"/>
      </w:pPr>
      <w:r>
        <w:t xml:space="preserve">Opća bolnica Zadar je u 2020. godini ukupno ostvarila 2.394.621,00 </w:t>
      </w:r>
      <w:r w:rsidR="00235BC4">
        <w:rPr>
          <w:bCs/>
          <w:iCs/>
        </w:rPr>
        <w:t xml:space="preserve">kuna </w:t>
      </w:r>
      <w:r>
        <w:t>manje prihode od prodaje proizvoda i robe</w:t>
      </w:r>
      <w:r w:rsidR="00235BC4">
        <w:t>,</w:t>
      </w:r>
      <w:r>
        <w:t xml:space="preserve"> te pruženih usluga u odnosu na 2019. godinu (pad od 28,70% u odnosu na prethodno razdoblje).</w:t>
      </w:r>
    </w:p>
    <w:p w:rsidR="00DB07EB" w:rsidRPr="00E138A3" w:rsidRDefault="00DB07EB" w:rsidP="00D64AFA">
      <w:pPr>
        <w:spacing w:after="0"/>
      </w:pPr>
    </w:p>
    <w:p w:rsidR="00F60DDF" w:rsidRPr="00E138A3" w:rsidRDefault="00F60DDF" w:rsidP="00F60DDF">
      <w:pPr>
        <w:pStyle w:val="ListParagraph"/>
        <w:spacing w:before="0" w:after="0"/>
      </w:pPr>
      <w:r>
        <w:t>AOP-127</w:t>
      </w:r>
      <w:r w:rsidRPr="00E138A3">
        <w:t xml:space="preserve"> – </w:t>
      </w:r>
      <w:r w:rsidRPr="00F60DDF">
        <w:t>DONACIJE OD PRAVNIH I FIZIČKIH OSOBA IZVAN OPĆEG PRORAČUNA (AOP 128+129)</w:t>
      </w:r>
      <w:r>
        <w:t xml:space="preserve">  </w:t>
      </w:r>
      <w:r w:rsidRPr="00E138A3">
        <w:t xml:space="preserve">Indeks </w:t>
      </w:r>
      <w:r w:rsidR="00C17EC9">
        <w:t>251,2</w:t>
      </w:r>
    </w:p>
    <w:p w:rsidR="00C17EC9" w:rsidRDefault="00C17EC9" w:rsidP="00F60DDF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C17EC9" w:rsidRDefault="00C17EC9" w:rsidP="00F60DDF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C17EC9">
        <w:rPr>
          <w:noProof/>
          <w:lang w:eastAsia="hr-HR"/>
        </w:rPr>
        <w:drawing>
          <wp:inline distT="0" distB="0" distL="0" distR="0">
            <wp:extent cx="6645910" cy="943725"/>
            <wp:effectExtent l="0" t="0" r="254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C9" w:rsidRDefault="00C17EC9" w:rsidP="00C17EC9">
      <w:pPr>
        <w:tabs>
          <w:tab w:val="decimal" w:pos="7371"/>
          <w:tab w:val="decimal" w:pos="8789"/>
        </w:tabs>
        <w:spacing w:after="0"/>
        <w:rPr>
          <w:b/>
          <w:i/>
        </w:rPr>
      </w:pPr>
      <w:r>
        <w:rPr>
          <w:bCs/>
          <w:iCs/>
        </w:rPr>
        <w:t xml:space="preserve">U odnosu na prethodno razdoblje, Opća bolnica Zadar ostvarila je značajno veće prihode od donacija od pravnih i fizičkih osoba izvan opće proračuna. Najveći iznos donacija namijenjen je opremanju Opće bolnice Zadar specijaliziranom medicinskom opremom za suzbijanje širenja bolesti COVID-19 u iznosu od 5.947.587,00 </w:t>
      </w:r>
      <w:r w:rsidR="00235BC4">
        <w:rPr>
          <w:bCs/>
          <w:iCs/>
        </w:rPr>
        <w:t>kuna</w:t>
      </w:r>
      <w:r>
        <w:rPr>
          <w:bCs/>
          <w:iCs/>
        </w:rPr>
        <w:t>. Ukupno povećanje prihoda od donacija u 2020. godini u odnosu na 2019. godinu iznosi 5.261.804,00 kune.</w:t>
      </w:r>
    </w:p>
    <w:p w:rsidR="00D33A51" w:rsidRDefault="00D33A51" w:rsidP="00F60DDF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7D34ED" w:rsidRDefault="007D34ED" w:rsidP="007D34ED">
      <w:pPr>
        <w:pStyle w:val="ListParagraph"/>
        <w:spacing w:before="0" w:after="0"/>
      </w:pPr>
      <w:r>
        <w:t>AOP-131</w:t>
      </w:r>
      <w:r w:rsidRPr="00E138A3">
        <w:t xml:space="preserve"> – </w:t>
      </w:r>
      <w:r>
        <w:t>PRIHODI IZ NADLEŽNOG PRORAČUNA ZA FINANCIRANJE REDOVNE DJELATNOSTI PRORAČUNSKIH KORISNIKA</w:t>
      </w:r>
      <w:r w:rsidRPr="00F60DDF">
        <w:t xml:space="preserve"> (AOP </w:t>
      </w:r>
      <w:r>
        <w:t>132 DO 134</w:t>
      </w:r>
      <w:r w:rsidRPr="00F60DDF">
        <w:t>)</w:t>
      </w:r>
      <w:r>
        <w:t xml:space="preserve">  </w:t>
      </w:r>
      <w:r w:rsidRPr="00E138A3">
        <w:t xml:space="preserve">Indeks </w:t>
      </w:r>
      <w:r w:rsidR="00E64279">
        <w:t>131,2</w:t>
      </w:r>
    </w:p>
    <w:p w:rsidR="00E64279" w:rsidRDefault="00E64279" w:rsidP="007D34ED">
      <w:pPr>
        <w:spacing w:after="0"/>
      </w:pPr>
    </w:p>
    <w:p w:rsidR="00E64279" w:rsidRDefault="00E64279" w:rsidP="007D34ED">
      <w:pPr>
        <w:spacing w:after="0"/>
      </w:pPr>
      <w:r w:rsidRPr="00E64279">
        <w:rPr>
          <w:noProof/>
          <w:lang w:eastAsia="hr-HR"/>
        </w:rPr>
        <w:drawing>
          <wp:inline distT="0" distB="0" distL="0" distR="0">
            <wp:extent cx="6645910" cy="1248598"/>
            <wp:effectExtent l="0" t="0" r="254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79" w:rsidRDefault="00E64279" w:rsidP="007D34ED">
      <w:pPr>
        <w:spacing w:after="0"/>
      </w:pPr>
      <w:r>
        <w:t>U 2020. godini ostvareni su veći prihodi iz nadležnog proračuna za financiranje redovne djelatnosti proračunskih korisnika, temeljem Odluke o raspodjeli financijskih sredstava ostvarenih prodajom nekretnina zgrade i zemljišta Zavoda za javno zdravstvo Zadar (KLASA: 406-01/20-01/16, URBROJ: 2198/1-02-20-3), kojom su Općoj bolnici Zadar</w:t>
      </w:r>
      <w:r w:rsidR="006A3CA0">
        <w:t xml:space="preserve"> dodijeljena sredstva u iznosu od 10.834.455,99 kn i namijenjena preseljenju polikliničkih djelatnosti iz paviljona Bolnice u zgradu Poliklinike Opće bolnice Zadar. Sredstva su namijenjena dovođenju </w:t>
      </w:r>
      <w:r w:rsidR="00235BC4">
        <w:t xml:space="preserve">ROH-BAU </w:t>
      </w:r>
      <w:r w:rsidR="006A3CA0">
        <w:t>prostora u funkciju</w:t>
      </w:r>
      <w:r w:rsidR="00235BC4">
        <w:t>,</w:t>
      </w:r>
      <w:r w:rsidR="006A3CA0">
        <w:t xml:space="preserve"> te opremanju istih specijaliziranim namještajem i medicinskom opremom za obavljanje zdravstvene djelatnosti u razini minimalnih standarda za pružanje zdravstvene zaštite. Ukupno povećanje prihoda iz nadležnog proračuna za financiranje redovne djelatnosti proračunskih korisnika u 2020. godini iznosi 3.387.966,00 </w:t>
      </w:r>
      <w:r w:rsidR="00235BC4">
        <w:rPr>
          <w:bCs/>
          <w:iCs/>
        </w:rPr>
        <w:t>kune v</w:t>
      </w:r>
      <w:r w:rsidR="006A3CA0">
        <w:t>iše u odnosu na prethodno razdoblje (31,20% veći prihodi u odnosu na 2019. godinu).</w:t>
      </w:r>
    </w:p>
    <w:p w:rsidR="007D34ED" w:rsidRDefault="007D34ED" w:rsidP="007D34ED">
      <w:pPr>
        <w:spacing w:after="0"/>
      </w:pPr>
    </w:p>
    <w:p w:rsidR="00D33A51" w:rsidRDefault="00D33A51" w:rsidP="007D34ED">
      <w:pPr>
        <w:spacing w:after="0"/>
      </w:pPr>
    </w:p>
    <w:p w:rsidR="00E138A3" w:rsidRPr="00E138A3" w:rsidRDefault="00F60DDF" w:rsidP="00F60DDF">
      <w:pPr>
        <w:pStyle w:val="ListParagraph"/>
        <w:spacing w:before="0" w:after="0"/>
      </w:pPr>
      <w:r>
        <w:lastRenderedPageBreak/>
        <w:t>AOP-136</w:t>
      </w:r>
      <w:r w:rsidR="00E138A3" w:rsidRPr="00E138A3">
        <w:t xml:space="preserve"> - </w:t>
      </w:r>
      <w:r w:rsidRPr="00F60DDF">
        <w:t>KAZNE, UPRAVNE MJERE I OSTALI PRIHODI (AOP 137+147)</w:t>
      </w:r>
      <w:r w:rsidR="00CC78AB">
        <w:tab/>
      </w:r>
      <w:r w:rsidR="00CC78AB">
        <w:tab/>
      </w:r>
      <w:r w:rsidR="00E138A3" w:rsidRPr="00E138A3">
        <w:t xml:space="preserve">Indeks </w:t>
      </w:r>
      <w:r w:rsidR="00F23057">
        <w:t>58</w:t>
      </w:r>
      <w:r>
        <w:t>,</w:t>
      </w:r>
      <w:r w:rsidR="00AD68E8">
        <w:t>7</w:t>
      </w:r>
    </w:p>
    <w:p w:rsidR="00F23057" w:rsidRDefault="00F23057" w:rsidP="00F60DDF">
      <w:pPr>
        <w:spacing w:after="0"/>
      </w:pPr>
    </w:p>
    <w:p w:rsidR="00F23057" w:rsidRDefault="00F23057" w:rsidP="00F60DDF">
      <w:pPr>
        <w:spacing w:after="0"/>
      </w:pPr>
      <w:r w:rsidRPr="00F23057">
        <w:rPr>
          <w:noProof/>
          <w:lang w:eastAsia="hr-HR"/>
        </w:rPr>
        <w:drawing>
          <wp:inline distT="0" distB="0" distL="0" distR="0">
            <wp:extent cx="6645910" cy="541314"/>
            <wp:effectExtent l="0" t="0" r="254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EB" w:rsidRDefault="00FF1EEB" w:rsidP="00F60DDF">
      <w:pPr>
        <w:spacing w:after="0"/>
      </w:pPr>
      <w:r>
        <w:t>Ostvareni su</w:t>
      </w:r>
      <w:r w:rsidR="00A26466">
        <w:t xml:space="preserve"> prihodi od kazni, upravnih mjera i ostalih prihoda u 2020. godini u iznosu od 1.152.367,</w:t>
      </w:r>
      <w:r w:rsidR="00235BC4">
        <w:t xml:space="preserve">00 </w:t>
      </w:r>
      <w:r w:rsidR="00235BC4">
        <w:rPr>
          <w:bCs/>
          <w:iCs/>
        </w:rPr>
        <w:t>kuna</w:t>
      </w:r>
      <w:r w:rsidR="00235BC4">
        <w:t>. U odnosu na 2019. godinu sma</w:t>
      </w:r>
      <w:r w:rsidR="00A26466">
        <w:t xml:space="preserve">njenje </w:t>
      </w:r>
      <w:r w:rsidR="00235BC4">
        <w:t>iznosi</w:t>
      </w:r>
      <w:r w:rsidR="00A26466">
        <w:t xml:space="preserve"> 811.563,00 kn (pad od 41,30%). Razlika se u najvećoj mjeri odnosi na smanjenje prihoda od popusta dobavljača u iznosu od 132.984,00 </w:t>
      </w:r>
      <w:r w:rsidR="00235BC4">
        <w:rPr>
          <w:bCs/>
          <w:iCs/>
        </w:rPr>
        <w:t>kuna</w:t>
      </w:r>
      <w:r w:rsidR="00A26466">
        <w:t xml:space="preserve">, zatim na otpise obveza od dobavljača u iznosu od 170.441,00 kn (kojih u 2020. godini nije bilo), na smanjenje prihoda od refundacija po osnovi dežurstava i ugovora o poslovnoj suradnji u iznosu od 330.496,00 </w:t>
      </w:r>
      <w:r w:rsidR="00235BC4">
        <w:rPr>
          <w:bCs/>
          <w:iCs/>
        </w:rPr>
        <w:t xml:space="preserve">kuna, </w:t>
      </w:r>
      <w:r w:rsidR="00A26466">
        <w:t xml:space="preserve">te ostalih i nespomenutih prihoda u iznosu od 394.922,00 </w:t>
      </w:r>
      <w:r w:rsidR="00235BC4">
        <w:rPr>
          <w:bCs/>
          <w:iCs/>
        </w:rPr>
        <w:t>kuna</w:t>
      </w:r>
      <w:r w:rsidR="00A26466">
        <w:t>.</w:t>
      </w:r>
    </w:p>
    <w:p w:rsidR="00D2755D" w:rsidRDefault="00D2755D" w:rsidP="00F60DDF">
      <w:pPr>
        <w:spacing w:after="0"/>
      </w:pPr>
    </w:p>
    <w:p w:rsidR="00E138A3" w:rsidRPr="00E138A3" w:rsidRDefault="004F4F1A" w:rsidP="00226F63">
      <w:pPr>
        <w:numPr>
          <w:ilvl w:val="0"/>
          <w:numId w:val="2"/>
        </w:numPr>
        <w:tabs>
          <w:tab w:val="decimal" w:pos="8789"/>
        </w:tabs>
        <w:spacing w:after="0" w:line="240" w:lineRule="auto"/>
        <w:contextualSpacing/>
        <w:rPr>
          <w:b/>
          <w:color w:val="42402C" w:themeColor="accent4" w:themeShade="80"/>
          <w:u w:val="single"/>
        </w:rPr>
      </w:pPr>
      <w:r>
        <w:rPr>
          <w:b/>
          <w:color w:val="42402C" w:themeColor="accent4" w:themeShade="80"/>
          <w:u w:val="single"/>
        </w:rPr>
        <w:t>AOP-148</w:t>
      </w:r>
      <w:r w:rsidR="00CC78AB">
        <w:rPr>
          <w:b/>
          <w:color w:val="42402C" w:themeColor="accent4" w:themeShade="80"/>
          <w:u w:val="single"/>
        </w:rPr>
        <w:t xml:space="preserve"> - RASHODI POSLOVANJA</w:t>
      </w:r>
      <w:r w:rsidR="00CC78AB">
        <w:rPr>
          <w:b/>
          <w:color w:val="42402C" w:themeColor="accent4" w:themeShade="80"/>
          <w:u w:val="single"/>
        </w:rPr>
        <w:tab/>
      </w:r>
      <w:r w:rsidR="00E138A3" w:rsidRPr="00E138A3">
        <w:rPr>
          <w:b/>
          <w:color w:val="42402C" w:themeColor="accent4" w:themeShade="80"/>
          <w:u w:val="single"/>
        </w:rPr>
        <w:t xml:space="preserve">Indeks </w:t>
      </w:r>
      <w:r w:rsidR="00D2755D">
        <w:rPr>
          <w:b/>
          <w:color w:val="42402C" w:themeColor="accent4" w:themeShade="80"/>
          <w:u w:val="single"/>
        </w:rPr>
        <w:t>1</w:t>
      </w:r>
      <w:r w:rsidR="00196B0F">
        <w:rPr>
          <w:b/>
          <w:color w:val="42402C" w:themeColor="accent4" w:themeShade="80"/>
          <w:u w:val="single"/>
        </w:rPr>
        <w:t>11</w:t>
      </w:r>
      <w:r w:rsidR="00EC3619">
        <w:rPr>
          <w:b/>
          <w:color w:val="42402C" w:themeColor="accent4" w:themeShade="80"/>
          <w:u w:val="single"/>
        </w:rPr>
        <w:t>,</w:t>
      </w:r>
      <w:r w:rsidR="00196B0F">
        <w:rPr>
          <w:b/>
          <w:color w:val="42402C" w:themeColor="accent4" w:themeShade="80"/>
          <w:u w:val="single"/>
        </w:rPr>
        <w:t>4</w:t>
      </w:r>
    </w:p>
    <w:p w:rsidR="00E138A3" w:rsidRPr="00E138A3" w:rsidRDefault="00E138A3" w:rsidP="00226F63">
      <w:pPr>
        <w:tabs>
          <w:tab w:val="decimal" w:pos="7371"/>
          <w:tab w:val="decimal" w:pos="8789"/>
        </w:tabs>
        <w:spacing w:after="0"/>
        <w:rPr>
          <w:b/>
          <w:bCs/>
          <w:iCs/>
        </w:rPr>
      </w:pPr>
      <w:r w:rsidRPr="00E138A3">
        <w:rPr>
          <w:b/>
          <w:bCs/>
          <w:iCs/>
        </w:rPr>
        <w:t xml:space="preserve">OSTVARENI RASHODI PRETHODNA GODINA </w:t>
      </w:r>
      <w:r w:rsidRPr="00E138A3">
        <w:rPr>
          <w:b/>
          <w:bCs/>
          <w:iCs/>
        </w:rPr>
        <w:tab/>
      </w:r>
      <w:r w:rsidR="00D2755D">
        <w:rPr>
          <w:b/>
          <w:bCs/>
          <w:iCs/>
        </w:rPr>
        <w:t>3</w:t>
      </w:r>
      <w:r w:rsidR="00196B0F">
        <w:rPr>
          <w:b/>
          <w:bCs/>
          <w:iCs/>
        </w:rPr>
        <w:t>62</w:t>
      </w:r>
      <w:r w:rsidR="00D46003">
        <w:rPr>
          <w:b/>
          <w:bCs/>
          <w:iCs/>
        </w:rPr>
        <w:t>.</w:t>
      </w:r>
      <w:r w:rsidR="00196B0F">
        <w:rPr>
          <w:b/>
          <w:bCs/>
          <w:iCs/>
        </w:rPr>
        <w:t>547</w:t>
      </w:r>
      <w:r w:rsidR="00D46003">
        <w:rPr>
          <w:b/>
          <w:bCs/>
          <w:iCs/>
        </w:rPr>
        <w:t>.</w:t>
      </w:r>
      <w:r w:rsidR="00196B0F">
        <w:rPr>
          <w:b/>
          <w:bCs/>
          <w:iCs/>
        </w:rPr>
        <w:t>569</w:t>
      </w:r>
      <w:r w:rsidR="00D2755D" w:rsidRPr="00E138A3">
        <w:rPr>
          <w:b/>
          <w:bCs/>
          <w:iCs/>
        </w:rPr>
        <w:t>,00</w:t>
      </w:r>
      <w:r w:rsidR="00D2755D">
        <w:rPr>
          <w:b/>
          <w:bCs/>
          <w:iCs/>
        </w:rPr>
        <w:t xml:space="preserve"> </w:t>
      </w:r>
      <w:r w:rsidR="004F4F1A">
        <w:rPr>
          <w:b/>
          <w:bCs/>
          <w:iCs/>
        </w:rPr>
        <w:t>kuna</w:t>
      </w:r>
      <w:r w:rsidRPr="00E138A3">
        <w:rPr>
          <w:b/>
          <w:bCs/>
          <w:iCs/>
        </w:rPr>
        <w:tab/>
      </w:r>
    </w:p>
    <w:p w:rsidR="00E138A3" w:rsidRPr="00E138A3" w:rsidRDefault="00E138A3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E138A3">
        <w:rPr>
          <w:b/>
          <w:bCs/>
          <w:iCs/>
        </w:rPr>
        <w:t xml:space="preserve">OSTVARENI RASHODI TEKUĆA GODINA </w:t>
      </w:r>
      <w:r w:rsidRPr="00E138A3">
        <w:rPr>
          <w:b/>
          <w:bCs/>
          <w:iCs/>
        </w:rPr>
        <w:tab/>
      </w:r>
      <w:r w:rsidR="00196B0F">
        <w:rPr>
          <w:b/>
          <w:bCs/>
          <w:iCs/>
        </w:rPr>
        <w:t>403</w:t>
      </w:r>
      <w:r w:rsidR="00D46003">
        <w:rPr>
          <w:b/>
          <w:bCs/>
          <w:iCs/>
        </w:rPr>
        <w:t>.</w:t>
      </w:r>
      <w:r w:rsidR="00196B0F">
        <w:rPr>
          <w:b/>
          <w:bCs/>
          <w:iCs/>
        </w:rPr>
        <w:t>731</w:t>
      </w:r>
      <w:r w:rsidR="00D46003">
        <w:rPr>
          <w:b/>
          <w:bCs/>
          <w:iCs/>
        </w:rPr>
        <w:t>.</w:t>
      </w:r>
      <w:r w:rsidR="00196B0F">
        <w:rPr>
          <w:b/>
          <w:bCs/>
          <w:iCs/>
        </w:rPr>
        <w:t>853</w:t>
      </w:r>
      <w:r w:rsidRPr="00E138A3">
        <w:rPr>
          <w:b/>
          <w:bCs/>
          <w:iCs/>
        </w:rPr>
        <w:t>,00</w:t>
      </w:r>
      <w:r w:rsidR="004F4F1A">
        <w:rPr>
          <w:b/>
          <w:bCs/>
          <w:iCs/>
        </w:rPr>
        <w:t xml:space="preserve"> kun</w:t>
      </w:r>
      <w:r w:rsidR="00196B0F">
        <w:rPr>
          <w:b/>
          <w:bCs/>
          <w:iCs/>
        </w:rPr>
        <w:t>e</w:t>
      </w:r>
      <w:r w:rsidRPr="00E138A3">
        <w:rPr>
          <w:bCs/>
          <w:iCs/>
        </w:rPr>
        <w:tab/>
      </w:r>
    </w:p>
    <w:p w:rsidR="00E138A3" w:rsidRDefault="00E138A3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E138A3">
        <w:rPr>
          <w:bCs/>
          <w:iCs/>
        </w:rPr>
        <w:t>Promatrajući u cijelosti odstupanje ukupno ostvarenih rashoda u izvještajnom razdoblju  u odnosu na ostvarene rashode prethodne godine i pojedinačno analizirajući rashode poslovanja po pojedinim računima iz računskog plana zabilježena</w:t>
      </w:r>
      <w:r w:rsidR="00D2755D">
        <w:rPr>
          <w:bCs/>
          <w:iCs/>
        </w:rPr>
        <w:t xml:space="preserve"> su sljedeća odstupanja</w:t>
      </w:r>
      <w:r w:rsidRPr="00E138A3">
        <w:rPr>
          <w:bCs/>
          <w:iCs/>
        </w:rPr>
        <w:t>:</w:t>
      </w:r>
    </w:p>
    <w:p w:rsidR="00196B0F" w:rsidRDefault="00196B0F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196B0F" w:rsidRPr="00E138A3" w:rsidRDefault="00196B0F" w:rsidP="00196B0F">
      <w:pPr>
        <w:pStyle w:val="ListParagraph"/>
        <w:spacing w:before="0" w:after="0"/>
        <w:ind w:left="357" w:hanging="357"/>
      </w:pPr>
      <w:r>
        <w:t>AOP-150</w:t>
      </w:r>
      <w:r w:rsidRPr="00E138A3">
        <w:t xml:space="preserve"> – </w:t>
      </w:r>
      <w:r>
        <w:t>PLAĆE (BRUTO)</w:t>
      </w:r>
      <w:r w:rsidRPr="00D2755D">
        <w:t xml:space="preserve"> (AOP 1</w:t>
      </w:r>
      <w:r>
        <w:t>51</w:t>
      </w:r>
      <w:r w:rsidRPr="00D2755D">
        <w:t xml:space="preserve"> DO </w:t>
      </w:r>
      <w:r>
        <w:t>154</w:t>
      </w:r>
      <w:r w:rsidRPr="00D2755D">
        <w:t>)</w:t>
      </w:r>
      <w:r>
        <w:tab/>
      </w:r>
      <w:r>
        <w:tab/>
      </w:r>
      <w:r>
        <w:tab/>
      </w:r>
      <w:r w:rsidRPr="00E138A3">
        <w:tab/>
        <w:t xml:space="preserve">Indeks </w:t>
      </w:r>
      <w:r>
        <w:t>112,0</w:t>
      </w:r>
    </w:p>
    <w:p w:rsidR="00196B0F" w:rsidRDefault="00196B0F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196B0F" w:rsidRDefault="00196B0F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196B0F">
        <w:rPr>
          <w:noProof/>
          <w:lang w:eastAsia="hr-HR"/>
        </w:rPr>
        <w:drawing>
          <wp:inline distT="0" distB="0" distL="0" distR="0">
            <wp:extent cx="6645910" cy="852805"/>
            <wp:effectExtent l="0" t="0" r="254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56" w:rsidRDefault="00196B0F" w:rsidP="00196B0F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196B0F">
        <w:rPr>
          <w:bCs/>
          <w:iCs/>
        </w:rPr>
        <w:t>Temeljem odluke Vrhovnog suda Republike Hrvatske od dana 10. prosinca 2019. godine, vezan uz različitu sudsku praksu glede prava na uvećanje plaće za sate ostvarene u prekovremenom radu djelatnika u zdravstvu, Vrhovni sud zauzeo je pravno shvaćanje da djelatnici u zdravstvu za vrijeme važenja Kolektivnog ugovora za djelatnost zdravstva i zdravstvenog osiguranja (Narodne novine br. 143/15 i 96/15) koji u redovnom radu imaju pravo na uvećanje plaće za posebne uvjete rada iz čl. 57. KU i pravo na uvećanje plaće za iznimnu odgovornost za život i zdravlje ljudi iz čl. 59. KU, imaju pravo na te dodatke (kumulativno) i za sate ostvarene u prekovremenom radu. Temeljem ove odluke</w:t>
      </w:r>
      <w:r w:rsidR="005B1DE8">
        <w:rPr>
          <w:bCs/>
          <w:iCs/>
        </w:rPr>
        <w:t xml:space="preserve"> donesene su pojedinačne sudske presude, temeljem koji</w:t>
      </w:r>
      <w:r w:rsidR="00235BC4">
        <w:rPr>
          <w:bCs/>
          <w:iCs/>
        </w:rPr>
        <w:t>h su sklopljene sudske nagodbe s</w:t>
      </w:r>
      <w:r w:rsidR="005B1DE8">
        <w:rPr>
          <w:bCs/>
          <w:iCs/>
        </w:rPr>
        <w:t>a tužiteljima (zaposlenicima) o obročnoj otplati duga</w:t>
      </w:r>
      <w:r w:rsidR="00AE4A56">
        <w:rPr>
          <w:bCs/>
          <w:iCs/>
        </w:rPr>
        <w:t>. Razlika plaće</w:t>
      </w:r>
      <w:r w:rsidRPr="00196B0F">
        <w:rPr>
          <w:bCs/>
          <w:iCs/>
        </w:rPr>
        <w:t xml:space="preserve"> za prekovremene sate rada</w:t>
      </w:r>
      <w:r w:rsidR="00AE4A56">
        <w:rPr>
          <w:bCs/>
          <w:iCs/>
        </w:rPr>
        <w:t xml:space="preserve"> se odnosi na razdoblje</w:t>
      </w:r>
      <w:r w:rsidRPr="00196B0F">
        <w:rPr>
          <w:bCs/>
          <w:iCs/>
        </w:rPr>
        <w:t xml:space="preserve"> od prosinca 2013. godine</w:t>
      </w:r>
      <w:r w:rsidR="00AE4A56">
        <w:rPr>
          <w:bCs/>
          <w:iCs/>
        </w:rPr>
        <w:t xml:space="preserve"> do travnja 2020. godine. Sklopljeno je ukupno 11 sudskih nagodbi za koje je isplata obroka otpočela u 2020. godini. Dodatkom III Kolektivnog ugovora</w:t>
      </w:r>
      <w:r w:rsidRPr="00196B0F">
        <w:rPr>
          <w:bCs/>
          <w:iCs/>
        </w:rPr>
        <w:t xml:space="preserve"> za djelatnost zdravstva i zdravstvenog osiguranja</w:t>
      </w:r>
      <w:r w:rsidR="00AE4A56" w:rsidRPr="00AE4A56">
        <w:t xml:space="preserve"> </w:t>
      </w:r>
      <w:r w:rsidR="00AE4A56">
        <w:t>(</w:t>
      </w:r>
      <w:r w:rsidR="00AE4A56" w:rsidRPr="00AE4A56">
        <w:rPr>
          <w:bCs/>
          <w:iCs/>
        </w:rPr>
        <w:t>stupio na snagu 01. travnja 2020. godine</w:t>
      </w:r>
      <w:r w:rsidR="00AE4A56">
        <w:rPr>
          <w:bCs/>
          <w:iCs/>
        </w:rPr>
        <w:t>)</w:t>
      </w:r>
      <w:r w:rsidRPr="00196B0F">
        <w:rPr>
          <w:bCs/>
          <w:iCs/>
        </w:rPr>
        <w:t xml:space="preserve"> </w:t>
      </w:r>
      <w:r w:rsidR="00AE4A56">
        <w:rPr>
          <w:bCs/>
          <w:iCs/>
        </w:rPr>
        <w:t>značajno se promijenio</w:t>
      </w:r>
      <w:r w:rsidRPr="00196B0F">
        <w:rPr>
          <w:bCs/>
          <w:iCs/>
        </w:rPr>
        <w:t xml:space="preserve"> način obračunavanja prekovremenih sati rada, a uz izbijanje epidemije bolesti COVID-19, Odlukom Ministarstva zdravstva određene su naknade plaća radnicima u sustavu zdravstva za vrijeme prekida rada dok čekaju poziv poslodavca, naknade plaće radnicima u sustavu zdravstva za vrijeme samoizolacije, korištenje godišnjih odmora</w:t>
      </w:r>
      <w:r w:rsidR="00235BC4">
        <w:rPr>
          <w:bCs/>
          <w:iCs/>
        </w:rPr>
        <w:t>,</w:t>
      </w:r>
      <w:r w:rsidRPr="00196B0F">
        <w:rPr>
          <w:bCs/>
          <w:iCs/>
        </w:rPr>
        <w:t xml:space="preserve"> te određivanje slobodnih dana umjesto uvećanja plaće za prekovremeni rad.</w:t>
      </w:r>
      <w:r w:rsidR="00AE4A56">
        <w:rPr>
          <w:bCs/>
          <w:iCs/>
        </w:rPr>
        <w:t xml:space="preserve"> </w:t>
      </w:r>
    </w:p>
    <w:p w:rsidR="00833351" w:rsidRDefault="00833351" w:rsidP="00196B0F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Gore navedeni razlozi su doveli do značajnog porasta rashoda za bruto plaće Opće bolnice Zadar u 2020. godini u odnosu na 2019. godinu, i to za 19.779.049,00 </w:t>
      </w:r>
      <w:r w:rsidR="00235BC4">
        <w:rPr>
          <w:bCs/>
          <w:iCs/>
        </w:rPr>
        <w:t xml:space="preserve">kuna </w:t>
      </w:r>
      <w:r>
        <w:rPr>
          <w:bCs/>
          <w:iCs/>
        </w:rPr>
        <w:t>(12,00% više u odnosu na 2019. godinu).</w:t>
      </w:r>
    </w:p>
    <w:p w:rsidR="00EA48E1" w:rsidRDefault="00EA48E1" w:rsidP="00196B0F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EA48E1" w:rsidRPr="00E138A3" w:rsidRDefault="00EA48E1" w:rsidP="00EA48E1">
      <w:pPr>
        <w:pStyle w:val="ListParagraph"/>
        <w:spacing w:before="0" w:after="0"/>
        <w:ind w:left="357" w:hanging="357"/>
      </w:pPr>
      <w:r>
        <w:t>AOP-156</w:t>
      </w:r>
      <w:r w:rsidRPr="00E138A3">
        <w:t xml:space="preserve"> – </w:t>
      </w:r>
      <w:r>
        <w:t xml:space="preserve">DOPRINOSI NA PLAĆE </w:t>
      </w:r>
      <w:r w:rsidRPr="00D2755D">
        <w:t xml:space="preserve">(AOP </w:t>
      </w:r>
      <w:r>
        <w:t>157</w:t>
      </w:r>
      <w:r w:rsidRPr="00D2755D">
        <w:t xml:space="preserve"> DO </w:t>
      </w:r>
      <w:r>
        <w:t>159</w:t>
      </w:r>
      <w:r w:rsidRPr="00D2755D">
        <w:t>)</w:t>
      </w:r>
      <w:r w:rsidR="00CC78AB">
        <w:tab/>
      </w:r>
      <w:r w:rsidR="00CC78AB">
        <w:tab/>
      </w:r>
      <w:r w:rsidR="00CC78AB">
        <w:tab/>
      </w:r>
      <w:r w:rsidRPr="00E138A3">
        <w:t xml:space="preserve">Indeks </w:t>
      </w:r>
      <w:r>
        <w:t>110,6</w:t>
      </w:r>
    </w:p>
    <w:p w:rsidR="00EA48E1" w:rsidRDefault="00EA48E1" w:rsidP="00EA48E1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EA48E1" w:rsidRDefault="00EA48E1" w:rsidP="00196B0F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EA48E1">
        <w:rPr>
          <w:noProof/>
          <w:lang w:eastAsia="hr-HR"/>
        </w:rPr>
        <w:drawing>
          <wp:inline distT="0" distB="0" distL="0" distR="0">
            <wp:extent cx="6645910" cy="1095906"/>
            <wp:effectExtent l="0" t="0" r="254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9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0F" w:rsidRDefault="00EA48E1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Povećanje rashoda za Doprinose na plaće je u izravnoj korelaciji s </w:t>
      </w:r>
      <w:r w:rsidR="00AE4A56">
        <w:rPr>
          <w:bCs/>
          <w:iCs/>
        </w:rPr>
        <w:t xml:space="preserve">svime gore navedenim, a poglavito </w:t>
      </w:r>
      <w:r>
        <w:rPr>
          <w:bCs/>
          <w:iCs/>
        </w:rPr>
        <w:t xml:space="preserve">odlukom Vrhovnog suda Republike Hrvatske, Dodatka III. Kolektivnom ugovoru za djelatnost zdravstva i zdravstvenog </w:t>
      </w:r>
      <w:r>
        <w:rPr>
          <w:bCs/>
          <w:iCs/>
        </w:rPr>
        <w:lastRenderedPageBreak/>
        <w:t>osiguranja i Odluke Ministarstva zdravstva koja je detaljnije obrazložena pod AOP-150 – Plaće (bruto). U odnosu na 2019. godinu, rashodi za Doprinose na plaće porasli su za 2.513.745,00 kn (10,60% više u odnosu na 2019. godinu).</w:t>
      </w:r>
    </w:p>
    <w:p w:rsidR="00EA48E1" w:rsidRDefault="00EA48E1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CC78AB" w:rsidRDefault="00CC78AB" w:rsidP="00CC78AB">
      <w:pPr>
        <w:numPr>
          <w:ilvl w:val="0"/>
          <w:numId w:val="2"/>
        </w:numPr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>
        <w:rPr>
          <w:b/>
          <w:color w:val="42402C" w:themeColor="accent4" w:themeShade="80"/>
          <w:u w:val="single"/>
        </w:rPr>
        <w:t>AOP-166</w:t>
      </w:r>
      <w:r w:rsidRPr="00E138A3">
        <w:rPr>
          <w:b/>
          <w:color w:val="42402C" w:themeColor="accent4" w:themeShade="80"/>
          <w:u w:val="single"/>
        </w:rPr>
        <w:t xml:space="preserve"> – </w:t>
      </w:r>
      <w:r>
        <w:rPr>
          <w:b/>
          <w:color w:val="42402C" w:themeColor="accent4" w:themeShade="80"/>
          <w:u w:val="single"/>
        </w:rPr>
        <w:t>RASHODI ZA MATERIJAL I ENERGIJU</w:t>
      </w:r>
      <w:r w:rsidRPr="00E138A3">
        <w:rPr>
          <w:b/>
          <w:color w:val="42402C" w:themeColor="accent4" w:themeShade="80"/>
          <w:u w:val="single"/>
        </w:rPr>
        <w:t xml:space="preserve"> </w:t>
      </w:r>
      <w:r w:rsidRPr="00E138A3">
        <w:rPr>
          <w:b/>
          <w:color w:val="42402C" w:themeColor="accent4" w:themeShade="80"/>
          <w:u w:val="single"/>
        </w:rPr>
        <w:tab/>
      </w:r>
      <w:r w:rsidRPr="00E138A3">
        <w:rPr>
          <w:b/>
          <w:color w:val="42402C" w:themeColor="accent4" w:themeShade="80"/>
          <w:u w:val="single"/>
        </w:rPr>
        <w:tab/>
      </w:r>
      <w:r w:rsidRPr="00E138A3">
        <w:rPr>
          <w:b/>
          <w:color w:val="42402C" w:themeColor="accent4" w:themeShade="80"/>
          <w:u w:val="single"/>
        </w:rPr>
        <w:tab/>
      </w:r>
      <w:r w:rsidRPr="00E138A3">
        <w:rPr>
          <w:b/>
          <w:color w:val="42402C" w:themeColor="accent4" w:themeShade="80"/>
          <w:u w:val="single"/>
        </w:rPr>
        <w:tab/>
        <w:t xml:space="preserve">Indeks </w:t>
      </w:r>
      <w:r>
        <w:rPr>
          <w:b/>
          <w:color w:val="42402C" w:themeColor="accent4" w:themeShade="80"/>
          <w:u w:val="single"/>
        </w:rPr>
        <w:t>113,7</w:t>
      </w:r>
    </w:p>
    <w:p w:rsidR="00CC78AB" w:rsidRDefault="00CC78AB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CC78AB" w:rsidRDefault="00CC78AB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CC78AB">
        <w:rPr>
          <w:noProof/>
          <w:lang w:eastAsia="hr-HR"/>
        </w:rPr>
        <w:drawing>
          <wp:inline distT="0" distB="0" distL="0" distR="0">
            <wp:extent cx="6645910" cy="1463591"/>
            <wp:effectExtent l="0" t="0" r="2540" b="381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6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56" w:rsidRDefault="00CC78AB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Opća bolnica Zadar je u 2020. godini značajno povećala </w:t>
      </w:r>
      <w:r w:rsidR="00AE4A56">
        <w:rPr>
          <w:bCs/>
          <w:iCs/>
        </w:rPr>
        <w:t>rashode za materijal i energiju.</w:t>
      </w:r>
    </w:p>
    <w:p w:rsidR="00CC78AB" w:rsidRDefault="00B432A9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>Najznačajnije p</w:t>
      </w:r>
      <w:r w:rsidR="00AE4A56">
        <w:rPr>
          <w:bCs/>
          <w:iCs/>
        </w:rPr>
        <w:t xml:space="preserve">ovećanje se odnosi na porast rashoda za lijekove u iznosu od 6.838.857,00 kuna, potrošnog medicinskog materijala u iznosu od 6.025.033,00 kuna, </w:t>
      </w:r>
      <w:r w:rsidR="00CC78AB">
        <w:rPr>
          <w:bCs/>
          <w:iCs/>
        </w:rPr>
        <w:t>rashoda za službenu, radnu i zaštitnu odjeću i obuću</w:t>
      </w:r>
      <w:r w:rsidR="00AE4A56">
        <w:rPr>
          <w:bCs/>
          <w:iCs/>
        </w:rPr>
        <w:t xml:space="preserve"> nabavljenu</w:t>
      </w:r>
      <w:r w:rsidR="00CC78AB" w:rsidRPr="00CC78AB">
        <w:rPr>
          <w:bCs/>
          <w:iCs/>
        </w:rPr>
        <w:t xml:space="preserve"> </w:t>
      </w:r>
      <w:r w:rsidR="00AE4A56">
        <w:rPr>
          <w:bCs/>
          <w:iCs/>
        </w:rPr>
        <w:t xml:space="preserve">u svrhu </w:t>
      </w:r>
      <w:r w:rsidR="00CC78AB" w:rsidRPr="00CC78AB">
        <w:rPr>
          <w:bCs/>
          <w:iCs/>
        </w:rPr>
        <w:t>sprječavanja š</w:t>
      </w:r>
      <w:r w:rsidR="00CE7D1A">
        <w:rPr>
          <w:bCs/>
          <w:iCs/>
        </w:rPr>
        <w:t>irenja zaraze bolesti COVID-19 u iznosu od 2.426.796,00 kn više u 2020. godini u odnosu na 2019. godinu. Osim ovih rashoda, porasli su i rashodi sitnog inventara, a koji se odnose na</w:t>
      </w:r>
      <w:r w:rsidR="00CC78AB" w:rsidRPr="00CC78AB">
        <w:rPr>
          <w:bCs/>
          <w:iCs/>
        </w:rPr>
        <w:t xml:space="preserve"> nabavku neophodnog sitnog inventara za potrebe opremanja prostora za izolaciju pacijenata zaraženih virusom SaRS-CoV-2</w:t>
      </w:r>
      <w:r w:rsidR="00CE7D1A">
        <w:rPr>
          <w:bCs/>
          <w:iCs/>
        </w:rPr>
        <w:t>, za koje su rashodi porasli za 809.907,00 kn (89,20% više u odnosu na 2019. godinu)</w:t>
      </w:r>
      <w:r>
        <w:rPr>
          <w:bCs/>
          <w:iCs/>
        </w:rPr>
        <w:t xml:space="preserve">. </w:t>
      </w:r>
    </w:p>
    <w:p w:rsidR="00B432A9" w:rsidRPr="00E138A3" w:rsidRDefault="00B432A9" w:rsidP="00226F6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4F4F1A" w:rsidRDefault="004F4F1A" w:rsidP="004F4F1A">
      <w:pPr>
        <w:numPr>
          <w:ilvl w:val="0"/>
          <w:numId w:val="2"/>
        </w:numPr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>
        <w:rPr>
          <w:b/>
          <w:color w:val="42402C" w:themeColor="accent4" w:themeShade="80"/>
          <w:u w:val="single"/>
        </w:rPr>
        <w:t>AOP-174</w:t>
      </w:r>
      <w:r w:rsidRPr="00E138A3">
        <w:rPr>
          <w:b/>
          <w:color w:val="42402C" w:themeColor="accent4" w:themeShade="80"/>
          <w:u w:val="single"/>
        </w:rPr>
        <w:t xml:space="preserve"> – </w:t>
      </w:r>
      <w:r>
        <w:rPr>
          <w:b/>
          <w:color w:val="42402C" w:themeColor="accent4" w:themeShade="80"/>
          <w:u w:val="single"/>
        </w:rPr>
        <w:t>RASHODI ZA USLUGE</w:t>
      </w:r>
      <w:r w:rsidR="008A5DC7">
        <w:rPr>
          <w:b/>
          <w:color w:val="42402C" w:themeColor="accent4" w:themeShade="80"/>
          <w:u w:val="single"/>
        </w:rPr>
        <w:tab/>
      </w:r>
      <w:r w:rsidR="008A5DC7">
        <w:rPr>
          <w:b/>
          <w:color w:val="42402C" w:themeColor="accent4" w:themeShade="80"/>
          <w:u w:val="single"/>
        </w:rPr>
        <w:tab/>
      </w:r>
      <w:r w:rsidR="008A5DC7">
        <w:rPr>
          <w:b/>
          <w:color w:val="42402C" w:themeColor="accent4" w:themeShade="80"/>
          <w:u w:val="single"/>
        </w:rPr>
        <w:tab/>
      </w:r>
      <w:r w:rsidR="008A5DC7">
        <w:rPr>
          <w:b/>
          <w:color w:val="42402C" w:themeColor="accent4" w:themeShade="80"/>
          <w:u w:val="single"/>
        </w:rPr>
        <w:tab/>
      </w:r>
      <w:r w:rsidR="008A5DC7">
        <w:rPr>
          <w:b/>
          <w:color w:val="42402C" w:themeColor="accent4" w:themeShade="80"/>
          <w:u w:val="single"/>
        </w:rPr>
        <w:tab/>
      </w:r>
      <w:r w:rsidR="008A5DC7">
        <w:rPr>
          <w:b/>
          <w:color w:val="42402C" w:themeColor="accent4" w:themeShade="80"/>
          <w:u w:val="single"/>
        </w:rPr>
        <w:tab/>
      </w:r>
      <w:r w:rsidRPr="00E138A3">
        <w:rPr>
          <w:b/>
          <w:color w:val="42402C" w:themeColor="accent4" w:themeShade="80"/>
          <w:u w:val="single"/>
        </w:rPr>
        <w:t xml:space="preserve">Indeks </w:t>
      </w:r>
      <w:r w:rsidR="008A5DC7">
        <w:rPr>
          <w:b/>
          <w:color w:val="42402C" w:themeColor="accent4" w:themeShade="80"/>
          <w:u w:val="single"/>
        </w:rPr>
        <w:t>116</w:t>
      </w:r>
      <w:r w:rsidR="00D2755D">
        <w:rPr>
          <w:b/>
          <w:color w:val="42402C" w:themeColor="accent4" w:themeShade="80"/>
          <w:u w:val="single"/>
        </w:rPr>
        <w:t>,</w:t>
      </w:r>
      <w:r w:rsidR="008A5DC7">
        <w:rPr>
          <w:b/>
          <w:color w:val="42402C" w:themeColor="accent4" w:themeShade="80"/>
          <w:u w:val="single"/>
        </w:rPr>
        <w:t>8</w:t>
      </w:r>
    </w:p>
    <w:p w:rsidR="00CC78AB" w:rsidRPr="00E138A3" w:rsidRDefault="00CC78AB" w:rsidP="00CC78AB">
      <w:pPr>
        <w:spacing w:before="240" w:after="120" w:line="240" w:lineRule="auto"/>
        <w:ind w:left="360"/>
        <w:contextualSpacing/>
        <w:rPr>
          <w:b/>
          <w:color w:val="42402C" w:themeColor="accent4" w:themeShade="80"/>
          <w:u w:val="single"/>
        </w:rPr>
      </w:pPr>
    </w:p>
    <w:p w:rsidR="004F4F1A" w:rsidRDefault="008A5DC7" w:rsidP="004F4F1A">
      <w:pPr>
        <w:tabs>
          <w:tab w:val="decimal" w:pos="7371"/>
          <w:tab w:val="decimal" w:pos="8789"/>
        </w:tabs>
        <w:spacing w:after="0"/>
        <w:jc w:val="center"/>
        <w:rPr>
          <w:bCs/>
          <w:iCs/>
        </w:rPr>
      </w:pPr>
      <w:r w:rsidRPr="008A5DC7">
        <w:rPr>
          <w:noProof/>
          <w:lang w:eastAsia="hr-HR"/>
        </w:rPr>
        <w:drawing>
          <wp:inline distT="0" distB="0" distL="0" distR="0">
            <wp:extent cx="6645910" cy="1921666"/>
            <wp:effectExtent l="0" t="0" r="254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1A" w:rsidRDefault="00B8264E" w:rsidP="00E138A3">
      <w:pPr>
        <w:tabs>
          <w:tab w:val="decimal" w:pos="7371"/>
          <w:tab w:val="decimal" w:pos="8789"/>
        </w:tabs>
        <w:spacing w:after="0"/>
        <w:rPr>
          <w:bCs/>
          <w:i/>
          <w:iCs/>
          <w:sz w:val="18"/>
        </w:rPr>
      </w:pPr>
      <w:r>
        <w:rPr>
          <w:bCs/>
          <w:i/>
          <w:iCs/>
          <w:sz w:val="18"/>
        </w:rPr>
        <w:t>Isječak iz obrasca PR-RAS 2020</w:t>
      </w:r>
      <w:r w:rsidR="004F4F1A" w:rsidRPr="004F4F1A">
        <w:rPr>
          <w:bCs/>
          <w:i/>
          <w:iCs/>
          <w:sz w:val="18"/>
        </w:rPr>
        <w:t>. godine</w:t>
      </w:r>
    </w:p>
    <w:p w:rsidR="008A5DC7" w:rsidRDefault="008A5DC7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1760A6" w:rsidRDefault="001760A6" w:rsidP="001760A6">
      <w:pPr>
        <w:pStyle w:val="ListParagraph"/>
        <w:spacing w:before="0" w:after="0"/>
        <w:ind w:left="357" w:hanging="357"/>
      </w:pPr>
      <w:r>
        <w:t>AOP-175 – USLUGE TELEFONA, POŠTE I PRIJEVOZA</w:t>
      </w:r>
      <w:r>
        <w:tab/>
      </w:r>
      <w:r>
        <w:tab/>
      </w:r>
      <w:r>
        <w:tab/>
        <w:t>Indeks 130,0</w:t>
      </w:r>
    </w:p>
    <w:p w:rsidR="001760A6" w:rsidRDefault="001760A6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B432A9">
        <w:rPr>
          <w:bCs/>
          <w:iCs/>
        </w:rPr>
        <w:t xml:space="preserve">Rashodi za usluge telefona, pošte i prijevoza porasli su u 2020. godini za 136.499,00 kn </w:t>
      </w:r>
      <w:r w:rsidR="00235BC4">
        <w:rPr>
          <w:bCs/>
          <w:iCs/>
        </w:rPr>
        <w:t>radi</w:t>
      </w:r>
      <w:r w:rsidR="00B432A9">
        <w:rPr>
          <w:bCs/>
          <w:iCs/>
        </w:rPr>
        <w:t xml:space="preserve"> povećanja broja izlaznih linija za telefoniju, većeg broja specijaliziranih pošiljki medicinskih uzoraka na analizu u udaljene centre, te</w:t>
      </w:r>
      <w:r w:rsidRPr="00B432A9">
        <w:rPr>
          <w:bCs/>
          <w:iCs/>
        </w:rPr>
        <w:t xml:space="preserve"> izmjena cijena vezanih uz ugovaranje istih u 2020. godini u odnosu na 2019. godinu</w:t>
      </w:r>
      <w:r w:rsidR="00B432A9">
        <w:rPr>
          <w:bCs/>
          <w:iCs/>
        </w:rPr>
        <w:t>.</w:t>
      </w:r>
    </w:p>
    <w:p w:rsidR="00EC6840" w:rsidRDefault="00EC6840" w:rsidP="00EC6840">
      <w:pPr>
        <w:tabs>
          <w:tab w:val="decimal" w:pos="4536"/>
          <w:tab w:val="decimal" w:pos="9214"/>
        </w:tabs>
        <w:spacing w:after="0"/>
        <w:ind w:left="360" w:hanging="360"/>
        <w:rPr>
          <w:i/>
        </w:rPr>
      </w:pPr>
    </w:p>
    <w:p w:rsidR="00F674F2" w:rsidRDefault="00F674F2" w:rsidP="001760A6">
      <w:pPr>
        <w:pStyle w:val="ListParagraph"/>
        <w:spacing w:before="0" w:after="0"/>
        <w:ind w:left="357" w:hanging="357"/>
      </w:pPr>
      <w:r>
        <w:t>AOP-176 – USLUGE TEKUĆEG I INVESTICIJSKOG ODRŽAVANJA</w:t>
      </w:r>
      <w:r>
        <w:tab/>
        <w:t>Indeks 1</w:t>
      </w:r>
      <w:r w:rsidR="00A41662">
        <w:t>30</w:t>
      </w:r>
      <w:r>
        <w:t>,</w:t>
      </w:r>
      <w:r w:rsidR="00A41662">
        <w:t>7</w:t>
      </w:r>
    </w:p>
    <w:p w:rsidR="00A41662" w:rsidRDefault="00A41662" w:rsidP="00A41662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>Značajno povećanje rashoda za usluge u 2020. godini odnosi se na Usluge tekućeg i investicijskog održavanja, radi održavanja nužne i neophodne medicinske opreme funkcionalnom i očuvanjem kvalitete pružanja javnozdravstvene zaštite.  Od značajnijih rashoda za tekuće i investicijsko održavanje mogu se izdvojiti:</w:t>
      </w:r>
    </w:p>
    <w:p w:rsidR="00A41662" w:rsidRDefault="00A41662" w:rsidP="00A41662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Servisiranje RTG uređaja za intervencijsku kardiologiju</w:t>
      </w:r>
    </w:p>
    <w:p w:rsidR="00A41662" w:rsidRDefault="00A41662" w:rsidP="00A41662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(dio rashoda za navedeni servis pokriven sredstvima isplaćenima</w:t>
      </w:r>
    </w:p>
    <w:p w:rsidR="00A41662" w:rsidRDefault="00A41662" w:rsidP="00A41662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 xml:space="preserve">od strane Ministarstva zdravstva temeljem </w:t>
      </w:r>
      <w:r w:rsidR="00B432A9">
        <w:rPr>
          <w:b w:val="0"/>
          <w:i/>
          <w:color w:val="auto"/>
          <w:u w:val="none"/>
        </w:rPr>
        <w:t>Izmjen</w:t>
      </w:r>
      <w:r>
        <w:rPr>
          <w:b w:val="0"/>
          <w:i/>
          <w:color w:val="auto"/>
          <w:u w:val="none"/>
        </w:rPr>
        <w:t>e</w:t>
      </w:r>
      <w:r w:rsidRPr="008A5DC7">
        <w:rPr>
          <w:b w:val="0"/>
          <w:i/>
          <w:color w:val="auto"/>
          <w:u w:val="none"/>
        </w:rPr>
        <w:t xml:space="preserve"> suglasnosti </w:t>
      </w:r>
    </w:p>
    <w:p w:rsidR="00A41662" w:rsidRDefault="00A41662" w:rsidP="00A41662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 w:rsidRPr="008A5DC7">
        <w:rPr>
          <w:b w:val="0"/>
          <w:i/>
          <w:color w:val="auto"/>
          <w:u w:val="none"/>
        </w:rPr>
        <w:t>KLASA: 406-05/20-01/55, URBROJ: 534-05-3-1/4-20-12</w:t>
      </w:r>
      <w:r>
        <w:rPr>
          <w:b w:val="0"/>
          <w:i/>
          <w:color w:val="auto"/>
          <w:u w:val="none"/>
        </w:rPr>
        <w:t>)</w:t>
      </w:r>
      <w:r>
        <w:rPr>
          <w:b w:val="0"/>
          <w:i/>
          <w:color w:val="auto"/>
          <w:u w:val="none"/>
        </w:rPr>
        <w:tab/>
        <w:t>1.166.352,50</w:t>
      </w:r>
      <w:r w:rsidRPr="00DF555C">
        <w:rPr>
          <w:b w:val="0"/>
          <w:i/>
          <w:color w:val="auto"/>
          <w:u w:val="none"/>
        </w:rPr>
        <w:t xml:space="preserve"> kn</w:t>
      </w:r>
      <w:r>
        <w:rPr>
          <w:b w:val="0"/>
          <w:i/>
          <w:color w:val="auto"/>
          <w:u w:val="none"/>
        </w:rPr>
        <w:t>,</w:t>
      </w:r>
    </w:p>
    <w:p w:rsidR="00A41662" w:rsidRDefault="00A41662" w:rsidP="00A41662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Zamjena cijevi na Radspeed CH-200 RTG uređaju</w:t>
      </w:r>
    </w:p>
    <w:p w:rsidR="00A41662" w:rsidRDefault="00A41662" w:rsidP="00A41662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(pokriven u cijelosti iz Decentraliziranih sredstava)</w:t>
      </w:r>
      <w:r>
        <w:rPr>
          <w:b w:val="0"/>
          <w:i/>
          <w:color w:val="auto"/>
          <w:u w:val="none"/>
        </w:rPr>
        <w:tab/>
        <w:t>245.000,00 kn,</w:t>
      </w:r>
    </w:p>
    <w:p w:rsidR="00A41662" w:rsidRDefault="00A41662" w:rsidP="00A41662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Servis operacijskih stolova</w:t>
      </w:r>
    </w:p>
    <w:p w:rsidR="00A41662" w:rsidRDefault="00A41662" w:rsidP="00A41662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(pokriven u cijelosti iz redovnih sredstava Ustanove)</w:t>
      </w:r>
      <w:r>
        <w:rPr>
          <w:b w:val="0"/>
          <w:i/>
          <w:color w:val="auto"/>
          <w:u w:val="none"/>
        </w:rPr>
        <w:tab/>
        <w:t>147.625,03 kn,</w:t>
      </w:r>
    </w:p>
    <w:p w:rsidR="00A41662" w:rsidRDefault="00A41662" w:rsidP="00A41662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lastRenderedPageBreak/>
        <w:t>Servis i dopuna helija na uređaju Magnetom Aera</w:t>
      </w:r>
    </w:p>
    <w:p w:rsidR="00A41662" w:rsidRDefault="00A41662" w:rsidP="00A41662">
      <w:pPr>
        <w:pStyle w:val="ListParagraph"/>
        <w:numPr>
          <w:ilvl w:val="0"/>
          <w:numId w:val="0"/>
        </w:numPr>
        <w:tabs>
          <w:tab w:val="decimal" w:pos="4536"/>
          <w:tab w:val="decimal" w:pos="9214"/>
        </w:tabs>
        <w:spacing w:before="0" w:after="0"/>
        <w:ind w:left="108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(pokriven u cijelosti iz Decentraliziranih sredstava)</w:t>
      </w:r>
      <w:r>
        <w:rPr>
          <w:b w:val="0"/>
          <w:i/>
          <w:color w:val="auto"/>
          <w:u w:val="none"/>
        </w:rPr>
        <w:tab/>
        <w:t>332.278,31</w:t>
      </w:r>
      <w:r w:rsidR="00432ED2">
        <w:rPr>
          <w:b w:val="0"/>
          <w:i/>
          <w:color w:val="auto"/>
          <w:u w:val="none"/>
        </w:rPr>
        <w:t xml:space="preserve"> kn.</w:t>
      </w:r>
    </w:p>
    <w:p w:rsidR="00107F5C" w:rsidRDefault="00107F5C" w:rsidP="001760A6">
      <w:pPr>
        <w:tabs>
          <w:tab w:val="decimal" w:pos="4536"/>
          <w:tab w:val="decimal" w:pos="9214"/>
        </w:tabs>
        <w:spacing w:after="0"/>
        <w:ind w:left="360" w:hanging="360"/>
        <w:rPr>
          <w:i/>
        </w:rPr>
      </w:pPr>
    </w:p>
    <w:p w:rsidR="00A41662" w:rsidRDefault="001760A6" w:rsidP="001760A6">
      <w:pPr>
        <w:pStyle w:val="ListParagraph"/>
        <w:spacing w:before="0" w:after="0"/>
        <w:ind w:left="357" w:hanging="357"/>
      </w:pPr>
      <w:r>
        <w:t xml:space="preserve">AOP-177 </w:t>
      </w:r>
      <w:r w:rsidRPr="00E138A3">
        <w:t xml:space="preserve">– </w:t>
      </w:r>
      <w:r>
        <w:t>USLUGE PROMIDŽBE I INFORMIRANJA</w:t>
      </w:r>
      <w:r>
        <w:tab/>
      </w:r>
      <w:r>
        <w:tab/>
      </w:r>
      <w:r>
        <w:tab/>
      </w:r>
      <w:r w:rsidRPr="00E138A3">
        <w:t xml:space="preserve"> Indeks </w:t>
      </w:r>
      <w:r>
        <w:t>122,2</w:t>
      </w:r>
    </w:p>
    <w:p w:rsidR="001760A6" w:rsidRPr="001760A6" w:rsidRDefault="001760A6" w:rsidP="001760A6">
      <w:pPr>
        <w:spacing w:after="0"/>
      </w:pPr>
      <w:r>
        <w:t xml:space="preserve">Porast rashoda za usluge promidžbe i informiranja odnose se ponajviše na rashode vezane uz provođenje natječaja vezanih uz javnu nabavu, što uključuje objavu natječaja na stranica Elektroničkog oglasnika javne nabave (EOJN) Narodnih novina d.d., kao i objavljivanje obavijesti o odabiru. Rashodi za usluge promidžbe i informiranja su porasli za 52.596,00 </w:t>
      </w:r>
      <w:r w:rsidR="003A0743">
        <w:rPr>
          <w:bCs/>
          <w:iCs/>
        </w:rPr>
        <w:t xml:space="preserve">kuna </w:t>
      </w:r>
      <w:r>
        <w:t>u odnosu na 2019. godinu.</w:t>
      </w:r>
    </w:p>
    <w:p w:rsidR="006D2B0F" w:rsidRPr="00E138A3" w:rsidRDefault="006D2B0F" w:rsidP="006D2B0F">
      <w:pPr>
        <w:pStyle w:val="ListParagraph"/>
        <w:spacing w:after="0"/>
      </w:pPr>
      <w:r>
        <w:t xml:space="preserve">AOP-178 </w:t>
      </w:r>
      <w:r w:rsidRPr="00E138A3">
        <w:t xml:space="preserve">– </w:t>
      </w:r>
      <w:r>
        <w:t>KOMUNALNE USLUGE</w:t>
      </w:r>
      <w:r w:rsidR="00107F5C">
        <w:tab/>
      </w:r>
      <w:r w:rsidR="00107F5C">
        <w:tab/>
      </w:r>
      <w:r w:rsidR="00107F5C">
        <w:tab/>
      </w:r>
      <w:r w:rsidR="00107F5C">
        <w:tab/>
      </w:r>
      <w:r w:rsidR="00107F5C">
        <w:tab/>
      </w:r>
      <w:r w:rsidR="00107F5C">
        <w:tab/>
      </w:r>
      <w:r w:rsidRPr="00E138A3">
        <w:t xml:space="preserve">Indeks </w:t>
      </w:r>
      <w:r w:rsidR="00A41662">
        <w:t>88</w:t>
      </w:r>
      <w:r>
        <w:t>,</w:t>
      </w:r>
      <w:r w:rsidR="00A41662">
        <w:t>2</w:t>
      </w:r>
    </w:p>
    <w:p w:rsidR="00F674F2" w:rsidRDefault="001760A6" w:rsidP="00F674F2">
      <w:pPr>
        <w:spacing w:after="0"/>
      </w:pPr>
      <w:r>
        <w:t xml:space="preserve">Do pada rashoda za komunalne usluge došlo je radi bolje kontrole rashoda, naročito u opskrbi vodom, gdje je u prethodnim razdobljima dolazilo do značajnih utrošaka radi puknuća vodovodnih cijevi unutar bolničkog paviljona. Sanacijom vodovodnih cijevi u sklopu tekućeg i investicijskog održavanja, rashodi za komunalne usluge u 2020. godini smanjili su se za 283.934,00 </w:t>
      </w:r>
      <w:r w:rsidR="003A0743">
        <w:rPr>
          <w:bCs/>
          <w:iCs/>
        </w:rPr>
        <w:t xml:space="preserve">kuna </w:t>
      </w:r>
      <w:r>
        <w:t>(11,80% manji u odnosu na 2019. godinu)</w:t>
      </w:r>
      <w:r w:rsidR="00383AA9">
        <w:t>.</w:t>
      </w:r>
    </w:p>
    <w:p w:rsidR="00383AA9" w:rsidRPr="00E138A3" w:rsidRDefault="00383AA9" w:rsidP="00383AA9">
      <w:pPr>
        <w:pStyle w:val="ListParagraph"/>
        <w:spacing w:after="0"/>
      </w:pPr>
      <w:r>
        <w:t xml:space="preserve">AOP-179 </w:t>
      </w:r>
      <w:r w:rsidRPr="00E138A3">
        <w:t xml:space="preserve">– </w:t>
      </w:r>
      <w:r>
        <w:t>ZAKUPNINE I NAJAMNINE</w:t>
      </w:r>
      <w:r w:rsidR="00107F5C">
        <w:tab/>
      </w:r>
      <w:r w:rsidR="00107F5C">
        <w:tab/>
      </w:r>
      <w:r w:rsidR="00107F5C">
        <w:tab/>
      </w:r>
      <w:r w:rsidR="00107F5C">
        <w:tab/>
      </w:r>
      <w:r w:rsidR="00107F5C">
        <w:tab/>
      </w:r>
      <w:r w:rsidRPr="00E138A3">
        <w:t xml:space="preserve">Indeks </w:t>
      </w:r>
      <w:r w:rsidR="00107F5C">
        <w:t>165</w:t>
      </w:r>
      <w:r>
        <w:t>,</w:t>
      </w:r>
      <w:r w:rsidR="00107F5C">
        <w:t>3</w:t>
      </w:r>
    </w:p>
    <w:p w:rsidR="00383AA9" w:rsidRDefault="00383AA9" w:rsidP="00383AA9">
      <w:pPr>
        <w:spacing w:after="0"/>
      </w:pPr>
      <w:r>
        <w:t>Povećanje rashoda za zakupnine i najamnine se u najvećoj mjeri odnose na najam računala i računalne opreme.</w:t>
      </w:r>
    </w:p>
    <w:p w:rsidR="00383AA9" w:rsidRPr="00E138A3" w:rsidRDefault="00383AA9" w:rsidP="00383AA9">
      <w:pPr>
        <w:pStyle w:val="ListParagraph"/>
        <w:spacing w:after="0"/>
      </w:pPr>
      <w:r>
        <w:t xml:space="preserve">AOP-180 </w:t>
      </w:r>
      <w:r w:rsidRPr="00E138A3">
        <w:t xml:space="preserve">– </w:t>
      </w:r>
      <w:r>
        <w:t>ZDRAVSTVENE I VETERINARSKE USLUGE</w:t>
      </w:r>
      <w:r w:rsidR="00107F5C">
        <w:tab/>
      </w:r>
      <w:r w:rsidR="00107F5C">
        <w:tab/>
      </w:r>
      <w:r w:rsidR="00107F5C">
        <w:tab/>
      </w:r>
      <w:r w:rsidRPr="00E138A3">
        <w:t xml:space="preserve">Indeks </w:t>
      </w:r>
      <w:r w:rsidR="00107F5C">
        <w:t>87,5</w:t>
      </w:r>
    </w:p>
    <w:p w:rsidR="00B432A9" w:rsidRDefault="001760A6" w:rsidP="00383AA9">
      <w:pPr>
        <w:spacing w:after="0"/>
      </w:pPr>
      <w:r w:rsidRPr="001760A6">
        <w:t>Potrebno je istaknuti pad rashoda za Zdravstvene i veterinarske usluge, koje su se smanjile u 2020. godini za 564.871,00</w:t>
      </w:r>
      <w:r w:rsidR="00B432A9">
        <w:t xml:space="preserve"> </w:t>
      </w:r>
      <w:r w:rsidR="003A0743">
        <w:rPr>
          <w:bCs/>
          <w:iCs/>
        </w:rPr>
        <w:t xml:space="preserve">kuna </w:t>
      </w:r>
      <w:r w:rsidR="00B432A9">
        <w:t>u odnosu na 2019. godinu radi manjeg obujma posla, te sukladno tome manjih zahtjeva za dijagnostičkim pregledima, pretragama i medicinskim analizama od strane sudarnih ustanova.</w:t>
      </w:r>
    </w:p>
    <w:p w:rsidR="00D8583D" w:rsidRPr="00E138A3" w:rsidRDefault="00D8583D" w:rsidP="00D8583D">
      <w:pPr>
        <w:pStyle w:val="ListParagraph"/>
        <w:spacing w:after="0"/>
      </w:pPr>
      <w:r>
        <w:t xml:space="preserve">AOP-181 </w:t>
      </w:r>
      <w:r w:rsidRPr="00E138A3">
        <w:t xml:space="preserve">– </w:t>
      </w:r>
      <w:r>
        <w:t>INTELEKTUALNE I OSOBNE USLUGE</w:t>
      </w:r>
      <w:r w:rsidR="00107F5C">
        <w:tab/>
      </w:r>
      <w:r w:rsidR="00107F5C">
        <w:tab/>
      </w:r>
      <w:r w:rsidR="00107F5C">
        <w:tab/>
      </w:r>
      <w:r w:rsidR="00107F5C">
        <w:tab/>
      </w:r>
      <w:r w:rsidRPr="00E138A3">
        <w:t xml:space="preserve">Indeks </w:t>
      </w:r>
      <w:r w:rsidR="00107F5C">
        <w:t>120</w:t>
      </w:r>
      <w:r>
        <w:t>,</w:t>
      </w:r>
      <w:r w:rsidR="00107F5C">
        <w:t>7</w:t>
      </w:r>
    </w:p>
    <w:p w:rsidR="00107F5C" w:rsidRDefault="00107F5C" w:rsidP="00107F5C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Porast rashoda za intelektualne usluge u iznosu od 243.951,00 kn u odnosu na 2019. godinu (20,70% više nego u 2019. godini) vezan je uz kapitalni projekt </w:t>
      </w:r>
      <w:r w:rsidR="00F24F16">
        <w:rPr>
          <w:bCs/>
          <w:iCs/>
        </w:rPr>
        <w:t xml:space="preserve">financiran iz Eu sredstava </w:t>
      </w:r>
      <w:r>
        <w:rPr>
          <w:bCs/>
          <w:iCs/>
        </w:rPr>
        <w:t>„</w:t>
      </w:r>
      <w:r w:rsidRPr="00E35F71">
        <w:rPr>
          <w:bCs/>
          <w:iCs/>
        </w:rPr>
        <w:t>Izgradnja i opremanje dnevnih bolnica Odjela za pulmologiju, onkologiju, infektologiju i dermatologiju</w:t>
      </w:r>
      <w:r>
        <w:rPr>
          <w:bCs/>
          <w:iCs/>
        </w:rPr>
        <w:t xml:space="preserve"> </w:t>
      </w:r>
      <w:r w:rsidRPr="00E35F71">
        <w:rPr>
          <w:bCs/>
          <w:iCs/>
        </w:rPr>
        <w:t>Opće bolnice Zadar te adaptacija i opremanje dnevne bolnice Službe za kirurgiju</w:t>
      </w:r>
      <w:r>
        <w:rPr>
          <w:bCs/>
          <w:iCs/>
        </w:rPr>
        <w:t>“ i odnosi se na sljedeće stavke:</w:t>
      </w:r>
    </w:p>
    <w:p w:rsidR="00107F5C" w:rsidRDefault="00F24F16" w:rsidP="00107F5C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Pilot projekt „P</w:t>
      </w:r>
      <w:r w:rsidR="00107F5C">
        <w:rPr>
          <w:b w:val="0"/>
          <w:i/>
          <w:color w:val="auto"/>
          <w:u w:val="none"/>
        </w:rPr>
        <w:t>rimjena betona od recikliranog materijala</w:t>
      </w:r>
      <w:r>
        <w:rPr>
          <w:b w:val="0"/>
          <w:i/>
          <w:color w:val="auto"/>
          <w:u w:val="none"/>
        </w:rPr>
        <w:t>“</w:t>
      </w:r>
      <w:r w:rsidR="00107F5C">
        <w:rPr>
          <w:b w:val="0"/>
          <w:i/>
          <w:color w:val="auto"/>
          <w:u w:val="none"/>
        </w:rPr>
        <w:tab/>
        <w:t>243.000,00 kn,</w:t>
      </w:r>
    </w:p>
    <w:p w:rsidR="00107F5C" w:rsidRDefault="00107F5C" w:rsidP="00107F5C">
      <w:pPr>
        <w:pStyle w:val="ListParagraph"/>
        <w:numPr>
          <w:ilvl w:val="0"/>
          <w:numId w:val="26"/>
        </w:numPr>
        <w:tabs>
          <w:tab w:val="decimal" w:pos="4536"/>
          <w:tab w:val="decimal" w:pos="9214"/>
        </w:tabs>
        <w:spacing w:before="0" w:after="0"/>
        <w:rPr>
          <w:b w:val="0"/>
          <w:i/>
          <w:color w:val="auto"/>
          <w:u w:val="none"/>
        </w:rPr>
      </w:pPr>
      <w:r>
        <w:rPr>
          <w:b w:val="0"/>
          <w:i/>
          <w:color w:val="auto"/>
          <w:u w:val="none"/>
        </w:rPr>
        <w:t>Uslugu izrade dokumentacije i provedbu javne nabave</w:t>
      </w:r>
      <w:r>
        <w:rPr>
          <w:b w:val="0"/>
          <w:i/>
          <w:color w:val="auto"/>
          <w:u w:val="none"/>
        </w:rPr>
        <w:tab/>
        <w:t>53.125,00 kn.</w:t>
      </w:r>
    </w:p>
    <w:p w:rsidR="00107F5C" w:rsidRDefault="00107F5C" w:rsidP="00107F5C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567A68" w:rsidRPr="00E138A3" w:rsidRDefault="00567A68" w:rsidP="00107F5C">
      <w:pPr>
        <w:pStyle w:val="ListParagraph"/>
        <w:spacing w:before="0" w:after="0"/>
        <w:ind w:left="357" w:hanging="357"/>
      </w:pPr>
      <w:r>
        <w:t xml:space="preserve">AOP-182 </w:t>
      </w:r>
      <w:r w:rsidRPr="00E138A3">
        <w:t xml:space="preserve">– </w:t>
      </w:r>
      <w:r>
        <w:t>RAČUNALNE USLUGE</w:t>
      </w:r>
      <w:r w:rsidR="00107F5C">
        <w:tab/>
      </w:r>
      <w:r w:rsidR="00107F5C">
        <w:tab/>
      </w:r>
      <w:r w:rsidR="00107F5C">
        <w:tab/>
      </w:r>
      <w:r w:rsidR="00107F5C">
        <w:tab/>
      </w:r>
      <w:r w:rsidR="00107F5C">
        <w:tab/>
      </w:r>
      <w:r w:rsidR="00107F5C">
        <w:tab/>
      </w:r>
      <w:r w:rsidRPr="00E138A3">
        <w:t xml:space="preserve">Indeks </w:t>
      </w:r>
      <w:r>
        <w:t>16</w:t>
      </w:r>
      <w:r w:rsidR="00107F5C">
        <w:t>1</w:t>
      </w:r>
      <w:r>
        <w:t>,</w:t>
      </w:r>
      <w:r w:rsidR="00107F5C">
        <w:t>5</w:t>
      </w:r>
    </w:p>
    <w:p w:rsidR="00107F5C" w:rsidRPr="00107F5C" w:rsidRDefault="00107F5C" w:rsidP="00107F5C">
      <w:r w:rsidRPr="00107F5C">
        <w:t>Značajnije povećanje rashoda za računalne usluge odnosi se ponajprije na Integraciju BIS-a s centralnim eNaručivanje sustavom: eNaručivanje, eLista čekanja, Prioritetno naručivanje, Centralni kalendar (sredstva osigurana Izmjenom suglasnosti KLASA: 406-05/20-01/133, URBROJ: 534-05-3-1/4-20-04 od strane Ministarstva zdravstva, ostatak osiguran financiranjem iz redovnih sredstava Opće bolnice Zadar) te na Integraciju eDelphyn transfuzijskog sustava HZTM-a i BIS-a.</w:t>
      </w:r>
    </w:p>
    <w:p w:rsidR="00E01D15" w:rsidRPr="00E138A3" w:rsidRDefault="00E01D15" w:rsidP="00E01D15">
      <w:pPr>
        <w:pStyle w:val="ListParagraph"/>
        <w:spacing w:after="0"/>
      </w:pPr>
      <w:r>
        <w:t xml:space="preserve">AOP-183 </w:t>
      </w:r>
      <w:r w:rsidRPr="00E138A3">
        <w:t xml:space="preserve">– </w:t>
      </w:r>
      <w:r>
        <w:t>OSTALE USLUGE</w:t>
      </w:r>
      <w:r w:rsidR="001F5AD0">
        <w:tab/>
      </w:r>
      <w:r w:rsidR="001F5AD0">
        <w:tab/>
      </w:r>
      <w:r w:rsidR="001F5AD0">
        <w:tab/>
      </w:r>
      <w:r w:rsidR="001F5AD0">
        <w:tab/>
      </w:r>
      <w:r w:rsidR="001F5AD0">
        <w:tab/>
      </w:r>
      <w:r w:rsidR="001F5AD0">
        <w:tab/>
      </w:r>
      <w:r w:rsidR="001F5AD0">
        <w:tab/>
      </w:r>
      <w:r w:rsidRPr="00E138A3">
        <w:t xml:space="preserve">Indeks </w:t>
      </w:r>
      <w:r>
        <w:t>115,7</w:t>
      </w:r>
    </w:p>
    <w:p w:rsidR="00107F5C" w:rsidRDefault="00107F5C" w:rsidP="00107F5C">
      <w:pPr>
        <w:spacing w:after="0"/>
      </w:pPr>
      <w:r>
        <w:t>Rast rashoda za ostale usluge uzrokovan je ponajprije epidemijom bolesti COVID-19, što je dovelo do stvaranja veće količine infektivnog otpada kojega je trebalo propisno zbrinuti, sukladno Pravilniku o gospodarenju medicinskim otpadom (NN 56/19). Rashodi za usluge zbrinjavanja infektivnog otpada su tako porasli za 582.249,00 kn u 2020. godini u odnosu na 2019. godinu (što je skoro pa gotovo dvostruko veći trošak u 2020. godini u odnosu na 2019. godinu).</w:t>
      </w:r>
    </w:p>
    <w:p w:rsidR="004F4F1A" w:rsidRPr="00E138A3" w:rsidRDefault="006D69B8" w:rsidP="004F4F1A">
      <w:pPr>
        <w:pStyle w:val="ListParagraph"/>
        <w:spacing w:after="0"/>
      </w:pPr>
      <w:r>
        <w:t>AOP-184</w:t>
      </w:r>
      <w:r w:rsidR="00F674F2">
        <w:t xml:space="preserve"> </w:t>
      </w:r>
      <w:r w:rsidR="004F4F1A" w:rsidRPr="00E138A3">
        <w:t xml:space="preserve">– </w:t>
      </w:r>
      <w:r w:rsidR="004F4F1A" w:rsidRPr="004F4F1A">
        <w:t>NAKNADE TROŠKOVA OSOBAMA IZVAN RADNOG ODNOSA</w:t>
      </w:r>
      <w:r w:rsidR="001F5AD0">
        <w:tab/>
      </w:r>
      <w:r w:rsidR="004F4F1A" w:rsidRPr="00E138A3">
        <w:t xml:space="preserve"> Indeks </w:t>
      </w:r>
      <w:r w:rsidR="00265F10">
        <w:t>36,1</w:t>
      </w:r>
    </w:p>
    <w:p w:rsidR="001F5AD0" w:rsidRDefault="001F5AD0" w:rsidP="004F4F1A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1F5AD0" w:rsidRDefault="001F5AD0" w:rsidP="004F4F1A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1F5AD0">
        <w:rPr>
          <w:noProof/>
          <w:lang w:eastAsia="hr-HR"/>
        </w:rPr>
        <w:drawing>
          <wp:inline distT="0" distB="0" distL="0" distR="0">
            <wp:extent cx="6645910" cy="541314"/>
            <wp:effectExtent l="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1A" w:rsidRDefault="001F5AD0" w:rsidP="001F5AD0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Smanjenje u iznosu od 49.231,00 kn u odnosu na 2019. godinu za Naknade troškova osobama izvan radnog odnosa uzrokovano je ukidanjem mjere </w:t>
      </w:r>
      <w:r w:rsidR="004F4F1A">
        <w:rPr>
          <w:bCs/>
          <w:iCs/>
        </w:rPr>
        <w:t>stručno</w:t>
      </w:r>
      <w:r>
        <w:rPr>
          <w:bCs/>
          <w:iCs/>
        </w:rPr>
        <w:t>g</w:t>
      </w:r>
      <w:r w:rsidR="004F4F1A">
        <w:rPr>
          <w:bCs/>
          <w:iCs/>
        </w:rPr>
        <w:t xml:space="preserve"> osposobljavanj</w:t>
      </w:r>
      <w:r>
        <w:rPr>
          <w:bCs/>
          <w:iCs/>
        </w:rPr>
        <w:t>a</w:t>
      </w:r>
      <w:r w:rsidR="004F4F1A">
        <w:rPr>
          <w:bCs/>
          <w:iCs/>
        </w:rPr>
        <w:t xml:space="preserve"> za rad bez zasnivanja radnog odnosa</w:t>
      </w:r>
      <w:r w:rsidR="00265F10">
        <w:rPr>
          <w:bCs/>
          <w:iCs/>
        </w:rPr>
        <w:t xml:space="preserve"> </w:t>
      </w:r>
      <w:r>
        <w:rPr>
          <w:bCs/>
          <w:iCs/>
        </w:rPr>
        <w:t>u 2020. godini.</w:t>
      </w:r>
    </w:p>
    <w:p w:rsidR="001F5AD0" w:rsidRDefault="001F5AD0" w:rsidP="001F5AD0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1F5AD0" w:rsidRDefault="001F5AD0" w:rsidP="001F5AD0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1F5AD0" w:rsidRDefault="001F5AD0" w:rsidP="001F5AD0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E250A0" w:rsidRDefault="00E250A0" w:rsidP="004F4F1A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E138A3" w:rsidRDefault="00E138A3" w:rsidP="00C03592">
      <w:pPr>
        <w:pStyle w:val="ListParagraph"/>
        <w:spacing w:before="0" w:after="0"/>
      </w:pPr>
      <w:r w:rsidRPr="00E138A3">
        <w:t>AOP-</w:t>
      </w:r>
      <w:r w:rsidR="006D69B8">
        <w:t>193</w:t>
      </w:r>
      <w:r w:rsidRPr="00E138A3">
        <w:t xml:space="preserve"> FINANCIJSKI RASHODI</w:t>
      </w:r>
      <w:r w:rsidRPr="00E138A3">
        <w:tab/>
      </w:r>
      <w:r w:rsidR="001F5AD0">
        <w:tab/>
      </w:r>
      <w:r w:rsidR="001F5AD0">
        <w:tab/>
      </w:r>
      <w:r w:rsidR="001F5AD0">
        <w:tab/>
      </w:r>
      <w:r w:rsidR="001F5AD0">
        <w:tab/>
      </w:r>
      <w:r w:rsidR="001F5AD0">
        <w:tab/>
      </w:r>
      <w:r w:rsidRPr="00E138A3">
        <w:t xml:space="preserve">Indeks </w:t>
      </w:r>
      <w:r w:rsidR="001F5AD0">
        <w:t>5</w:t>
      </w:r>
      <w:r w:rsidR="00C03592" w:rsidRPr="00C03592">
        <w:t>,</w:t>
      </w:r>
      <w:r w:rsidR="001F5AD0">
        <w:t>0</w:t>
      </w:r>
    </w:p>
    <w:p w:rsidR="00C03592" w:rsidRDefault="00C03592" w:rsidP="00C03592">
      <w:pPr>
        <w:spacing w:after="0"/>
        <w:jc w:val="center"/>
        <w:rPr>
          <w:noProof/>
          <w:lang w:eastAsia="hr-HR"/>
        </w:rPr>
      </w:pPr>
    </w:p>
    <w:p w:rsidR="001F5AD0" w:rsidRPr="00E138A3" w:rsidRDefault="001F5AD0" w:rsidP="00C03592">
      <w:pPr>
        <w:spacing w:after="0"/>
        <w:jc w:val="center"/>
      </w:pPr>
      <w:r w:rsidRPr="001F5AD0">
        <w:rPr>
          <w:noProof/>
          <w:lang w:eastAsia="hr-HR"/>
        </w:rPr>
        <w:drawing>
          <wp:inline distT="0" distB="0" distL="0" distR="0">
            <wp:extent cx="6645910" cy="1248598"/>
            <wp:effectExtent l="0" t="0" r="2540" b="889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A3" w:rsidRDefault="001F5AD0" w:rsidP="001F5AD0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>U odnosu na 2019. godinu, u 2020. godini nije bilo pravomoćnih sudskih presuda koje su mogle dovesti do obračuna zateznih kamata, kao što je to bilo u 2019. godini, kada je pravomoćna presuda Visokog trgovačkog suda Republike Hrvatske utjecala na porast rashoda za zatezne kamate po sudskim presudama. Također je primjetan značajan pad rashoda za negativne tečajne razlike i razlike zbog primjene valutne klauzule, koje su u direktnoj korelaciji s padom prihoda od privatnih osiguravajućih društava iz inozemstva, a iz razloga izbijanja epidemije bolesti COVID-19, što je dovelo do zaključavanja gospodarstava, ne samo na razini Republike Hrvatske, nego i na razini cjelokupnog svijeta. Navedeno zaključavanje dovelo je do smanjenja međunarodnih putovanja, a time ujedno i do smanjene potražnje za zdravstvenim uslugama od strane inozemnih posjetitelja.</w:t>
      </w:r>
      <w:r w:rsidR="006D69B8">
        <w:rPr>
          <w:bCs/>
          <w:iCs/>
        </w:rPr>
        <w:t xml:space="preserve"> </w:t>
      </w:r>
    </w:p>
    <w:p w:rsidR="007B4196" w:rsidRDefault="007B4196" w:rsidP="00C03592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1F5AD0" w:rsidRPr="00E138A3" w:rsidRDefault="001F5AD0" w:rsidP="001F5AD0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 w:rsidRPr="00E138A3">
        <w:rPr>
          <w:b/>
          <w:color w:val="42402C" w:themeColor="accent4" w:themeShade="80"/>
          <w:u w:val="single"/>
        </w:rPr>
        <w:t>AOP-</w:t>
      </w:r>
      <w:r>
        <w:rPr>
          <w:b/>
          <w:color w:val="42402C" w:themeColor="accent4" w:themeShade="80"/>
          <w:u w:val="single"/>
        </w:rPr>
        <w:t>222</w:t>
      </w:r>
      <w:r w:rsidRPr="00E138A3">
        <w:rPr>
          <w:b/>
          <w:color w:val="42402C" w:themeColor="accent4" w:themeShade="80"/>
          <w:u w:val="single"/>
        </w:rPr>
        <w:t xml:space="preserve"> </w:t>
      </w:r>
      <w:r w:rsidR="001B68DB">
        <w:rPr>
          <w:b/>
          <w:color w:val="42402C" w:themeColor="accent4" w:themeShade="80"/>
          <w:u w:val="single"/>
        </w:rPr>
        <w:t>POMOĆI INOZEMNIM VLADAMA</w:t>
      </w:r>
      <w:r w:rsidRPr="00E138A3">
        <w:rPr>
          <w:b/>
          <w:color w:val="42402C" w:themeColor="accent4" w:themeShade="80"/>
          <w:u w:val="single"/>
        </w:rPr>
        <w:t xml:space="preserve"> </w:t>
      </w:r>
      <w:r w:rsidRPr="00E138A3">
        <w:rPr>
          <w:b/>
          <w:color w:val="42402C" w:themeColor="accent4" w:themeShade="80"/>
          <w:u w:val="single"/>
        </w:rPr>
        <w:tab/>
        <w:t xml:space="preserve">Indeks </w:t>
      </w:r>
      <w:r>
        <w:rPr>
          <w:b/>
          <w:color w:val="42402C" w:themeColor="accent4" w:themeShade="80"/>
          <w:u w:val="single"/>
        </w:rPr>
        <w:t>-</w:t>
      </w:r>
    </w:p>
    <w:p w:rsidR="001F5AD0" w:rsidRDefault="001F5AD0" w:rsidP="00C03592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1F5AD0" w:rsidRDefault="001F5AD0" w:rsidP="00C03592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1F5AD0">
        <w:rPr>
          <w:noProof/>
          <w:lang w:eastAsia="hr-HR"/>
        </w:rPr>
        <w:drawing>
          <wp:inline distT="0" distB="0" distL="0" distR="0">
            <wp:extent cx="6645910" cy="853336"/>
            <wp:effectExtent l="0" t="0" r="2540" b="444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D0" w:rsidRDefault="001F5AD0" w:rsidP="00432ED2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Opća bolnica Zadar </w:t>
      </w:r>
      <w:r w:rsidR="00432ED2">
        <w:rPr>
          <w:bCs/>
          <w:iCs/>
        </w:rPr>
        <w:t xml:space="preserve">je u 2020. godini, kao vodeći partner u projektu </w:t>
      </w:r>
      <w:r>
        <w:rPr>
          <w:bCs/>
          <w:iCs/>
        </w:rPr>
        <w:t>„</w:t>
      </w:r>
      <w:r w:rsidR="00432ED2" w:rsidRPr="00432ED2">
        <w:rPr>
          <w:bCs/>
          <w:iCs/>
        </w:rPr>
        <w:t>Unaprjeđenje laboratorija i sustava laboratorijske dijagnostike LAB-OP</w:t>
      </w:r>
      <w:r w:rsidR="003A0743">
        <w:rPr>
          <w:bCs/>
          <w:iCs/>
        </w:rPr>
        <w:t>“</w:t>
      </w:r>
      <w:r w:rsidR="00432ED2">
        <w:rPr>
          <w:bCs/>
          <w:iCs/>
        </w:rPr>
        <w:t xml:space="preserve"> zadužena za koordina</w:t>
      </w:r>
      <w:r w:rsidR="003A0743">
        <w:rPr>
          <w:bCs/>
          <w:iCs/>
        </w:rPr>
        <w:t>ciju svih projektnih aktivnosti</w:t>
      </w:r>
      <w:r w:rsidR="00432ED2">
        <w:rPr>
          <w:bCs/>
          <w:iCs/>
        </w:rPr>
        <w:t xml:space="preserve"> što uključuje opravdavanje troškova vezanih uz projekt</w:t>
      </w:r>
      <w:r w:rsidR="003A0743">
        <w:rPr>
          <w:bCs/>
          <w:iCs/>
        </w:rPr>
        <w:t>,</w:t>
      </w:r>
      <w:r w:rsidR="00432ED2">
        <w:rPr>
          <w:bCs/>
          <w:iCs/>
        </w:rPr>
        <w:t xml:space="preserve"> te prijenos opravdanih troškova prema prekograničn</w:t>
      </w:r>
      <w:r w:rsidR="003A0743">
        <w:rPr>
          <w:bCs/>
          <w:iCs/>
        </w:rPr>
        <w:t>im partnerima (Ministarstvu rada</w:t>
      </w:r>
      <w:r w:rsidR="00432ED2">
        <w:rPr>
          <w:bCs/>
          <w:iCs/>
        </w:rPr>
        <w:t>, zdravstva, socijalne skrbi i prognanih Herceg-bosanskog kantona za implementaciju laboratorijskog informacijskog sustava</w:t>
      </w:r>
      <w:r w:rsidR="003A0743">
        <w:rPr>
          <w:bCs/>
          <w:iCs/>
        </w:rPr>
        <w:t>,</w:t>
      </w:r>
      <w:r w:rsidR="00432ED2">
        <w:rPr>
          <w:bCs/>
          <w:iCs/>
        </w:rPr>
        <w:t xml:space="preserve"> te Opštoj bolnici Bar za implementaciju pneumatskog sustava cijevi i laboratorijskog informacijskog sustava). Sredstva su u cijelosti pokrivena iz fondova EU.</w:t>
      </w:r>
    </w:p>
    <w:p w:rsidR="001F5AD0" w:rsidRDefault="001F5AD0" w:rsidP="00C03592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E138A3" w:rsidRPr="00E138A3" w:rsidRDefault="00E138A3" w:rsidP="00E138A3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 w:rsidRPr="00E138A3">
        <w:rPr>
          <w:b/>
          <w:color w:val="42402C" w:themeColor="accent4" w:themeShade="80"/>
          <w:u w:val="single"/>
        </w:rPr>
        <w:t>AOP-</w:t>
      </w:r>
      <w:r w:rsidR="00C03592">
        <w:rPr>
          <w:b/>
          <w:color w:val="42402C" w:themeColor="accent4" w:themeShade="80"/>
          <w:u w:val="single"/>
        </w:rPr>
        <w:t>246</w:t>
      </w:r>
      <w:r w:rsidRPr="00E138A3">
        <w:rPr>
          <w:b/>
          <w:color w:val="42402C" w:themeColor="accent4" w:themeShade="80"/>
          <w:u w:val="single"/>
        </w:rPr>
        <w:t xml:space="preserve"> OSTALE NAK. GRAĐANIMA I KUĆANSTVIMA IZ PRORAČ. </w:t>
      </w:r>
      <w:r w:rsidRPr="00E138A3">
        <w:rPr>
          <w:b/>
          <w:color w:val="42402C" w:themeColor="accent4" w:themeShade="80"/>
          <w:u w:val="single"/>
        </w:rPr>
        <w:tab/>
        <w:t xml:space="preserve">Indeks </w:t>
      </w:r>
      <w:r w:rsidR="00432ED2">
        <w:rPr>
          <w:b/>
          <w:color w:val="42402C" w:themeColor="accent4" w:themeShade="80"/>
          <w:u w:val="single"/>
        </w:rPr>
        <w:t>82</w:t>
      </w:r>
      <w:r w:rsidR="00C03592">
        <w:rPr>
          <w:b/>
          <w:color w:val="42402C" w:themeColor="accent4" w:themeShade="80"/>
          <w:u w:val="single"/>
        </w:rPr>
        <w:t>,</w:t>
      </w:r>
      <w:r w:rsidR="00432ED2">
        <w:rPr>
          <w:b/>
          <w:color w:val="42402C" w:themeColor="accent4" w:themeShade="80"/>
          <w:u w:val="single"/>
        </w:rPr>
        <w:t>3</w:t>
      </w:r>
    </w:p>
    <w:p w:rsidR="00432ED2" w:rsidRDefault="00432ED2" w:rsidP="00C03592">
      <w:pPr>
        <w:spacing w:after="0"/>
        <w:rPr>
          <w:bCs/>
          <w:iCs/>
        </w:rPr>
      </w:pPr>
    </w:p>
    <w:p w:rsidR="00432ED2" w:rsidRDefault="00432ED2" w:rsidP="00C03592">
      <w:pPr>
        <w:spacing w:after="0"/>
        <w:rPr>
          <w:bCs/>
          <w:iCs/>
        </w:rPr>
      </w:pPr>
      <w:r w:rsidRPr="00432ED2">
        <w:rPr>
          <w:noProof/>
          <w:lang w:eastAsia="hr-HR"/>
        </w:rPr>
        <w:drawing>
          <wp:inline distT="0" distB="0" distL="0" distR="0">
            <wp:extent cx="6645910" cy="791034"/>
            <wp:effectExtent l="0" t="0" r="254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A3" w:rsidRDefault="00E138A3" w:rsidP="00C03592">
      <w:pPr>
        <w:spacing w:after="0"/>
        <w:rPr>
          <w:bCs/>
          <w:iCs/>
        </w:rPr>
      </w:pPr>
      <w:r w:rsidRPr="00240306">
        <w:rPr>
          <w:bCs/>
          <w:iCs/>
        </w:rPr>
        <w:t xml:space="preserve">Na </w:t>
      </w:r>
      <w:r w:rsidR="00C03592" w:rsidRPr="00240306">
        <w:rPr>
          <w:bCs/>
          <w:iCs/>
        </w:rPr>
        <w:t>pad</w:t>
      </w:r>
      <w:r w:rsidRPr="00240306">
        <w:rPr>
          <w:bCs/>
          <w:iCs/>
        </w:rPr>
        <w:t xml:space="preserve"> izdataka za školarine u odnos</w:t>
      </w:r>
      <w:r w:rsidR="00C03592" w:rsidRPr="00240306">
        <w:rPr>
          <w:bCs/>
          <w:iCs/>
        </w:rPr>
        <w:t>u na 201</w:t>
      </w:r>
      <w:r w:rsidR="00432ED2" w:rsidRPr="00240306">
        <w:rPr>
          <w:bCs/>
          <w:iCs/>
        </w:rPr>
        <w:t>9</w:t>
      </w:r>
      <w:r w:rsidRPr="00240306">
        <w:rPr>
          <w:bCs/>
          <w:iCs/>
        </w:rPr>
        <w:t xml:space="preserve">. godinu u ukupnom iznosu od </w:t>
      </w:r>
      <w:r w:rsidR="00432ED2" w:rsidRPr="00240306">
        <w:rPr>
          <w:bCs/>
          <w:iCs/>
        </w:rPr>
        <w:t>51</w:t>
      </w:r>
      <w:r w:rsidR="00835ED2" w:rsidRPr="00240306">
        <w:rPr>
          <w:bCs/>
          <w:iCs/>
        </w:rPr>
        <w:t>.</w:t>
      </w:r>
      <w:r w:rsidR="00432ED2" w:rsidRPr="00240306">
        <w:rPr>
          <w:bCs/>
          <w:iCs/>
        </w:rPr>
        <w:t>034</w:t>
      </w:r>
      <w:r w:rsidR="00C03592" w:rsidRPr="00240306">
        <w:rPr>
          <w:bCs/>
          <w:iCs/>
        </w:rPr>
        <w:t xml:space="preserve">,00 kuna utjecala je manja </w:t>
      </w:r>
      <w:r w:rsidRPr="00240306">
        <w:rPr>
          <w:bCs/>
          <w:iCs/>
        </w:rPr>
        <w:t>obveza plaćanja</w:t>
      </w:r>
      <w:r w:rsidR="00240306">
        <w:rPr>
          <w:bCs/>
          <w:iCs/>
        </w:rPr>
        <w:t xml:space="preserve"> (manji broj specijalizanata)</w:t>
      </w:r>
      <w:r w:rsidRPr="00240306">
        <w:rPr>
          <w:bCs/>
          <w:iCs/>
        </w:rPr>
        <w:t xml:space="preserve"> </w:t>
      </w:r>
      <w:r w:rsidR="000B2CED" w:rsidRPr="00240306">
        <w:rPr>
          <w:bCs/>
          <w:iCs/>
        </w:rPr>
        <w:t xml:space="preserve">postdiplomskog </w:t>
      </w:r>
      <w:r w:rsidR="00956DC9" w:rsidRPr="00240306">
        <w:rPr>
          <w:bCs/>
          <w:iCs/>
        </w:rPr>
        <w:t xml:space="preserve">specijalističkog </w:t>
      </w:r>
      <w:r w:rsidR="000B2CED" w:rsidRPr="00240306">
        <w:rPr>
          <w:bCs/>
          <w:iCs/>
        </w:rPr>
        <w:t>studija za liječnike specijalizante</w:t>
      </w:r>
      <w:r w:rsidR="003A0743">
        <w:rPr>
          <w:bCs/>
          <w:iCs/>
        </w:rPr>
        <w:t>,</w:t>
      </w:r>
      <w:r w:rsidR="00432ED2" w:rsidRPr="00240306">
        <w:rPr>
          <w:bCs/>
          <w:iCs/>
        </w:rPr>
        <w:t xml:space="preserve"> te se nastavlja trend smanjenja ostalih naknada građanima i kućanstvima iz proračuna.</w:t>
      </w:r>
    </w:p>
    <w:p w:rsidR="009801E5" w:rsidRDefault="009801E5" w:rsidP="00C03592">
      <w:pPr>
        <w:spacing w:after="0"/>
        <w:rPr>
          <w:bCs/>
          <w:iCs/>
        </w:rPr>
      </w:pPr>
    </w:p>
    <w:p w:rsidR="00432ED2" w:rsidRPr="00E138A3" w:rsidRDefault="00432ED2" w:rsidP="00432ED2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 w:rsidRPr="00E138A3">
        <w:rPr>
          <w:b/>
          <w:color w:val="42402C" w:themeColor="accent4" w:themeShade="80"/>
          <w:u w:val="single"/>
        </w:rPr>
        <w:t>AOP-</w:t>
      </w:r>
      <w:r>
        <w:rPr>
          <w:b/>
          <w:color w:val="42402C" w:themeColor="accent4" w:themeShade="80"/>
          <w:u w:val="single"/>
        </w:rPr>
        <w:t>258</w:t>
      </w:r>
      <w:r w:rsidRPr="00E138A3">
        <w:rPr>
          <w:b/>
          <w:color w:val="42402C" w:themeColor="accent4" w:themeShade="80"/>
          <w:u w:val="single"/>
        </w:rPr>
        <w:t xml:space="preserve"> </w:t>
      </w:r>
      <w:r>
        <w:rPr>
          <w:b/>
          <w:color w:val="42402C" w:themeColor="accent4" w:themeShade="80"/>
          <w:u w:val="single"/>
        </w:rPr>
        <w:t>TEKUĆE DONACIJE (AOP 259 DO 261)</w:t>
      </w:r>
      <w:r w:rsidRPr="00E138A3">
        <w:rPr>
          <w:b/>
          <w:color w:val="42402C" w:themeColor="accent4" w:themeShade="80"/>
          <w:u w:val="single"/>
        </w:rPr>
        <w:t xml:space="preserve"> </w:t>
      </w:r>
      <w:r w:rsidRPr="00E138A3">
        <w:rPr>
          <w:b/>
          <w:color w:val="42402C" w:themeColor="accent4" w:themeShade="80"/>
          <w:u w:val="single"/>
        </w:rPr>
        <w:tab/>
        <w:t xml:space="preserve">Indeks </w:t>
      </w:r>
      <w:r>
        <w:rPr>
          <w:b/>
          <w:color w:val="42402C" w:themeColor="accent4" w:themeShade="80"/>
          <w:u w:val="single"/>
        </w:rPr>
        <w:t>00,0</w:t>
      </w:r>
    </w:p>
    <w:p w:rsidR="00432ED2" w:rsidRDefault="00432ED2" w:rsidP="00C03592">
      <w:pPr>
        <w:spacing w:after="0"/>
        <w:rPr>
          <w:bCs/>
          <w:iCs/>
        </w:rPr>
      </w:pPr>
    </w:p>
    <w:p w:rsidR="00432ED2" w:rsidRDefault="00432ED2" w:rsidP="00C03592">
      <w:pPr>
        <w:spacing w:after="0"/>
        <w:rPr>
          <w:bCs/>
          <w:iCs/>
        </w:rPr>
      </w:pPr>
      <w:r w:rsidRPr="00432ED2">
        <w:rPr>
          <w:noProof/>
          <w:lang w:eastAsia="hr-HR"/>
        </w:rPr>
        <w:drawing>
          <wp:inline distT="0" distB="0" distL="0" distR="0">
            <wp:extent cx="6645910" cy="693495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06" w:rsidRDefault="00240306" w:rsidP="00C03592">
      <w:pPr>
        <w:spacing w:after="0"/>
        <w:rPr>
          <w:bCs/>
          <w:iCs/>
        </w:rPr>
      </w:pPr>
      <w:r>
        <w:rPr>
          <w:bCs/>
          <w:iCs/>
        </w:rPr>
        <w:t>Tijekom 2020. godine iz proračuna OB Zadar nisu ostvareni rashodi za tekuće donacije.</w:t>
      </w:r>
    </w:p>
    <w:p w:rsidR="00432ED2" w:rsidRDefault="00432ED2" w:rsidP="00C03592">
      <w:pPr>
        <w:spacing w:after="0"/>
        <w:rPr>
          <w:bCs/>
          <w:iCs/>
        </w:rPr>
      </w:pPr>
    </w:p>
    <w:p w:rsidR="00432ED2" w:rsidRDefault="00432ED2" w:rsidP="00C03592">
      <w:pPr>
        <w:spacing w:after="0"/>
        <w:rPr>
          <w:bCs/>
          <w:iCs/>
        </w:rPr>
      </w:pPr>
    </w:p>
    <w:p w:rsidR="00432ED2" w:rsidRDefault="00432ED2" w:rsidP="00C03592">
      <w:pPr>
        <w:spacing w:after="0"/>
        <w:rPr>
          <w:bCs/>
          <w:iCs/>
        </w:rPr>
      </w:pPr>
    </w:p>
    <w:p w:rsidR="009801E5" w:rsidRPr="00E138A3" w:rsidRDefault="009801E5" w:rsidP="009801E5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 w:rsidRPr="00E138A3">
        <w:rPr>
          <w:b/>
          <w:color w:val="42402C" w:themeColor="accent4" w:themeShade="80"/>
          <w:u w:val="single"/>
        </w:rPr>
        <w:lastRenderedPageBreak/>
        <w:t>AOP-</w:t>
      </w:r>
      <w:r>
        <w:rPr>
          <w:b/>
          <w:color w:val="42402C" w:themeColor="accent4" w:themeShade="80"/>
          <w:u w:val="single"/>
        </w:rPr>
        <w:t>266</w:t>
      </w:r>
      <w:r w:rsidRPr="00E138A3">
        <w:rPr>
          <w:b/>
          <w:color w:val="42402C" w:themeColor="accent4" w:themeShade="80"/>
          <w:u w:val="single"/>
        </w:rPr>
        <w:t xml:space="preserve"> </w:t>
      </w:r>
      <w:r>
        <w:rPr>
          <w:b/>
          <w:color w:val="42402C" w:themeColor="accent4" w:themeShade="80"/>
          <w:u w:val="single"/>
        </w:rPr>
        <w:t>KAZNE, PENALI I NAKNADE ŠTETE (AOP 267 DO 271)</w:t>
      </w:r>
      <w:r w:rsidRPr="00E138A3">
        <w:rPr>
          <w:b/>
          <w:color w:val="42402C" w:themeColor="accent4" w:themeShade="80"/>
          <w:u w:val="single"/>
        </w:rPr>
        <w:t xml:space="preserve"> </w:t>
      </w:r>
      <w:r w:rsidRPr="00E138A3">
        <w:rPr>
          <w:b/>
          <w:color w:val="42402C" w:themeColor="accent4" w:themeShade="80"/>
          <w:u w:val="single"/>
        </w:rPr>
        <w:tab/>
        <w:t xml:space="preserve">Indeks </w:t>
      </w:r>
      <w:r w:rsidR="00977A7A">
        <w:rPr>
          <w:b/>
          <w:color w:val="42402C" w:themeColor="accent4" w:themeShade="80"/>
          <w:u w:val="single"/>
        </w:rPr>
        <w:t>82</w:t>
      </w:r>
      <w:r>
        <w:rPr>
          <w:b/>
          <w:color w:val="42402C" w:themeColor="accent4" w:themeShade="80"/>
          <w:u w:val="single"/>
        </w:rPr>
        <w:t>,</w:t>
      </w:r>
      <w:r w:rsidR="00977A7A">
        <w:rPr>
          <w:b/>
          <w:color w:val="42402C" w:themeColor="accent4" w:themeShade="80"/>
          <w:u w:val="single"/>
        </w:rPr>
        <w:t>6</w:t>
      </w:r>
    </w:p>
    <w:p w:rsidR="00432ED2" w:rsidRDefault="00432ED2" w:rsidP="009801E5">
      <w:pPr>
        <w:spacing w:after="0"/>
        <w:rPr>
          <w:bCs/>
          <w:iCs/>
        </w:rPr>
      </w:pPr>
    </w:p>
    <w:p w:rsidR="00432ED2" w:rsidRDefault="00432ED2" w:rsidP="009801E5">
      <w:pPr>
        <w:spacing w:after="0"/>
        <w:rPr>
          <w:bCs/>
          <w:iCs/>
        </w:rPr>
      </w:pPr>
      <w:r w:rsidRPr="00432ED2">
        <w:rPr>
          <w:noProof/>
          <w:lang w:eastAsia="hr-HR"/>
        </w:rPr>
        <w:drawing>
          <wp:inline distT="0" distB="0" distL="0" distR="0">
            <wp:extent cx="6645910" cy="1006028"/>
            <wp:effectExtent l="0" t="0" r="2540" b="381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E5" w:rsidRDefault="00AA15E0" w:rsidP="009801E5">
      <w:pPr>
        <w:spacing w:after="0"/>
        <w:rPr>
          <w:bCs/>
          <w:iCs/>
        </w:rPr>
      </w:pPr>
      <w:r>
        <w:rPr>
          <w:bCs/>
          <w:iCs/>
        </w:rPr>
        <w:t>U odnosu na 2019. godinu, Opća bolnica Zadar je u 2020. godini imala 27.863,00 kn manje rashode za Kazne, penale i naknade šteta. To se ponajviše odnosi na smanjenje ugovornih kazni i ostalih naknada šteta, naročito u pogledu troškova žalbenih postupaka u sklopu javne nabave, kojih je u 2019. godini bilo puno više nego što je to bio slučaj u 2020. godini.</w:t>
      </w:r>
    </w:p>
    <w:p w:rsidR="00835ED2" w:rsidRDefault="00835ED2" w:rsidP="00C03592">
      <w:pPr>
        <w:spacing w:after="0"/>
        <w:rPr>
          <w:bCs/>
          <w:iCs/>
        </w:rPr>
      </w:pPr>
    </w:p>
    <w:p w:rsidR="00E138A3" w:rsidRPr="00E138A3" w:rsidRDefault="00E138A3" w:rsidP="00E138A3">
      <w:pPr>
        <w:numPr>
          <w:ilvl w:val="0"/>
          <w:numId w:val="2"/>
        </w:numPr>
        <w:tabs>
          <w:tab w:val="decimal" w:pos="7371"/>
          <w:tab w:val="decimal" w:pos="8789"/>
        </w:tabs>
        <w:spacing w:after="120" w:line="240" w:lineRule="auto"/>
        <w:contextualSpacing/>
        <w:rPr>
          <w:b/>
          <w:bCs/>
          <w:iCs/>
          <w:color w:val="42402C" w:themeColor="accent4" w:themeShade="80"/>
          <w:u w:val="single"/>
        </w:rPr>
      </w:pPr>
      <w:r w:rsidRPr="00E138A3">
        <w:rPr>
          <w:b/>
          <w:color w:val="42402C" w:themeColor="accent4" w:themeShade="80"/>
          <w:u w:val="single"/>
        </w:rPr>
        <w:t>AOP-</w:t>
      </w:r>
      <w:r w:rsidR="000B2CED">
        <w:rPr>
          <w:b/>
          <w:color w:val="42402C" w:themeColor="accent4" w:themeShade="80"/>
          <w:u w:val="single"/>
        </w:rPr>
        <w:t>289</w:t>
      </w:r>
      <w:r w:rsidRPr="00E138A3">
        <w:rPr>
          <w:b/>
          <w:color w:val="42402C" w:themeColor="accent4" w:themeShade="80"/>
          <w:u w:val="single"/>
        </w:rPr>
        <w:t xml:space="preserve"> - PRIHODI OD PRODAJE NEFINANCIJSKE IMOVINE </w:t>
      </w:r>
      <w:r w:rsidRPr="00E138A3">
        <w:rPr>
          <w:b/>
          <w:color w:val="42402C" w:themeColor="accent4" w:themeShade="80"/>
          <w:u w:val="single"/>
        </w:rPr>
        <w:tab/>
      </w:r>
      <w:r w:rsidRPr="00E138A3">
        <w:rPr>
          <w:b/>
          <w:color w:val="42402C" w:themeColor="accent4" w:themeShade="80"/>
          <w:u w:val="single"/>
        </w:rPr>
        <w:tab/>
        <w:t xml:space="preserve">Indeks </w:t>
      </w:r>
      <w:r w:rsidR="00A15567">
        <w:rPr>
          <w:b/>
          <w:color w:val="42402C" w:themeColor="accent4" w:themeShade="80"/>
          <w:u w:val="single"/>
        </w:rPr>
        <w:t>39</w:t>
      </w:r>
      <w:r w:rsidR="00204204">
        <w:rPr>
          <w:b/>
          <w:color w:val="42402C" w:themeColor="accent4" w:themeShade="80"/>
          <w:u w:val="single"/>
        </w:rPr>
        <w:t>,</w:t>
      </w:r>
      <w:r w:rsidR="00A15567">
        <w:rPr>
          <w:b/>
          <w:color w:val="42402C" w:themeColor="accent4" w:themeShade="80"/>
          <w:u w:val="single"/>
        </w:rPr>
        <w:t>7</w:t>
      </w:r>
    </w:p>
    <w:p w:rsidR="00E138A3" w:rsidRPr="00E138A3" w:rsidRDefault="00E138A3" w:rsidP="00E138A3">
      <w:pPr>
        <w:tabs>
          <w:tab w:val="decimal" w:pos="7371"/>
          <w:tab w:val="decimal" w:pos="8789"/>
        </w:tabs>
        <w:spacing w:after="0"/>
        <w:rPr>
          <w:b/>
          <w:bCs/>
          <w:iCs/>
        </w:rPr>
      </w:pPr>
      <w:r w:rsidRPr="00E138A3">
        <w:rPr>
          <w:b/>
          <w:bCs/>
          <w:iCs/>
        </w:rPr>
        <w:t>OSTVARENI RASHODI PRETHODNA GODINA</w:t>
      </w:r>
      <w:r w:rsidRPr="00E138A3">
        <w:rPr>
          <w:b/>
          <w:bCs/>
          <w:iCs/>
        </w:rPr>
        <w:tab/>
      </w:r>
      <w:r w:rsidR="00A15567">
        <w:rPr>
          <w:b/>
          <w:bCs/>
          <w:iCs/>
        </w:rPr>
        <w:t>33.120</w:t>
      </w:r>
      <w:r w:rsidR="009B729E">
        <w:rPr>
          <w:b/>
          <w:bCs/>
          <w:iCs/>
        </w:rPr>
        <w:t>,00</w:t>
      </w:r>
      <w:r w:rsidR="000B2CED" w:rsidRPr="000B2CED">
        <w:rPr>
          <w:b/>
          <w:bCs/>
          <w:iCs/>
        </w:rPr>
        <w:t xml:space="preserve"> kuna</w:t>
      </w:r>
      <w:r w:rsidRPr="00E138A3">
        <w:rPr>
          <w:b/>
          <w:bCs/>
          <w:iCs/>
        </w:rPr>
        <w:tab/>
      </w:r>
    </w:p>
    <w:p w:rsidR="00E138A3" w:rsidRDefault="00E138A3" w:rsidP="00E138A3">
      <w:pPr>
        <w:tabs>
          <w:tab w:val="decimal" w:pos="7371"/>
          <w:tab w:val="decimal" w:pos="8789"/>
        </w:tabs>
        <w:spacing w:after="0"/>
        <w:rPr>
          <w:b/>
          <w:bCs/>
          <w:iCs/>
        </w:rPr>
      </w:pPr>
      <w:r w:rsidRPr="00E138A3">
        <w:rPr>
          <w:b/>
          <w:bCs/>
          <w:iCs/>
        </w:rPr>
        <w:t>OSTVARENI RASHODI TEKUĆA GODINA</w:t>
      </w:r>
      <w:r w:rsidRPr="00E138A3">
        <w:rPr>
          <w:b/>
          <w:bCs/>
          <w:iCs/>
        </w:rPr>
        <w:tab/>
      </w:r>
      <w:r w:rsidR="00A15567">
        <w:rPr>
          <w:b/>
          <w:bCs/>
          <w:iCs/>
        </w:rPr>
        <w:t>13</w:t>
      </w:r>
      <w:r w:rsidR="00204204">
        <w:rPr>
          <w:b/>
          <w:bCs/>
          <w:iCs/>
        </w:rPr>
        <w:t>.</w:t>
      </w:r>
      <w:r w:rsidR="00A15567">
        <w:rPr>
          <w:b/>
          <w:bCs/>
          <w:iCs/>
        </w:rPr>
        <w:t>163</w:t>
      </w:r>
      <w:r w:rsidRPr="00E138A3">
        <w:rPr>
          <w:b/>
          <w:bCs/>
          <w:iCs/>
        </w:rPr>
        <w:t>,00</w:t>
      </w:r>
      <w:r w:rsidR="004F4F1A" w:rsidRPr="004F4F1A">
        <w:rPr>
          <w:b/>
          <w:bCs/>
          <w:iCs/>
        </w:rPr>
        <w:t xml:space="preserve"> </w:t>
      </w:r>
      <w:r w:rsidR="004F4F1A">
        <w:rPr>
          <w:b/>
          <w:bCs/>
          <w:iCs/>
        </w:rPr>
        <w:t>kuna</w:t>
      </w:r>
    </w:p>
    <w:p w:rsidR="00DD045A" w:rsidRDefault="00DD045A" w:rsidP="00E138A3">
      <w:pPr>
        <w:tabs>
          <w:tab w:val="decimal" w:pos="7371"/>
          <w:tab w:val="decimal" w:pos="8789"/>
        </w:tabs>
        <w:spacing w:after="0"/>
        <w:rPr>
          <w:b/>
          <w:bCs/>
          <w:iCs/>
        </w:rPr>
      </w:pPr>
    </w:p>
    <w:p w:rsidR="00A15567" w:rsidRDefault="00A15567" w:rsidP="00E138A3">
      <w:pPr>
        <w:tabs>
          <w:tab w:val="decimal" w:pos="7371"/>
          <w:tab w:val="decimal" w:pos="8789"/>
        </w:tabs>
        <w:spacing w:after="0"/>
        <w:rPr>
          <w:b/>
          <w:bCs/>
          <w:iCs/>
        </w:rPr>
      </w:pPr>
      <w:r w:rsidRPr="00A15567">
        <w:rPr>
          <w:noProof/>
          <w:lang w:eastAsia="hr-HR"/>
        </w:rPr>
        <w:drawing>
          <wp:inline distT="0" distB="0" distL="0" distR="0">
            <wp:extent cx="6645910" cy="1092387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67" w:rsidRDefault="00A15567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</w:p>
    <w:p w:rsidR="00A15567" w:rsidRDefault="00A15567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A15567">
        <w:rPr>
          <w:noProof/>
          <w:lang w:eastAsia="hr-HR"/>
        </w:rPr>
        <w:drawing>
          <wp:inline distT="0" distB="0" distL="0" distR="0">
            <wp:extent cx="6645910" cy="1092387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67" w:rsidRPr="00A15567" w:rsidRDefault="00A15567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>Prihodi od prodaje nefinancijske imovine u 2020. godini pali su u prosjeku za 60,30%, odnosno financijski su pali za 19.957,00 kn. Za razliku od 2019. godine, kada je Opća bolnica Zadar prodala prijevozna sredstva koja više nisu bila financijski isplativa za održavanje, u 2020. godini nije bilo dodatnih prihoda od prodaje prijevoznih sredstava ili bilo kakve druge imovine za koju je Opća bolnica Zadar mogla ostvariti prihode od prodaje na tržištu.</w:t>
      </w:r>
    </w:p>
    <w:p w:rsidR="00A15567" w:rsidRPr="00E138A3" w:rsidRDefault="00A15567" w:rsidP="00E138A3">
      <w:pPr>
        <w:tabs>
          <w:tab w:val="decimal" w:pos="7371"/>
          <w:tab w:val="decimal" w:pos="8789"/>
        </w:tabs>
        <w:spacing w:after="0"/>
        <w:rPr>
          <w:b/>
          <w:bCs/>
          <w:iCs/>
        </w:rPr>
      </w:pPr>
    </w:p>
    <w:p w:rsidR="00E138A3" w:rsidRPr="00E138A3" w:rsidRDefault="005E2D19" w:rsidP="00E138A3">
      <w:pPr>
        <w:numPr>
          <w:ilvl w:val="0"/>
          <w:numId w:val="2"/>
        </w:numPr>
        <w:tabs>
          <w:tab w:val="decimal" w:pos="8789"/>
        </w:tabs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>
        <w:rPr>
          <w:b/>
          <w:color w:val="42402C" w:themeColor="accent4" w:themeShade="80"/>
          <w:u w:val="single"/>
        </w:rPr>
        <w:t>AOP-3</w:t>
      </w:r>
      <w:r w:rsidR="00E138A3" w:rsidRPr="00E138A3">
        <w:rPr>
          <w:b/>
          <w:color w:val="42402C" w:themeColor="accent4" w:themeShade="80"/>
          <w:u w:val="single"/>
        </w:rPr>
        <w:t>4</w:t>
      </w:r>
      <w:r>
        <w:rPr>
          <w:b/>
          <w:color w:val="42402C" w:themeColor="accent4" w:themeShade="80"/>
          <w:u w:val="single"/>
        </w:rPr>
        <w:t>1</w:t>
      </w:r>
      <w:r w:rsidR="00E138A3" w:rsidRPr="00E138A3">
        <w:rPr>
          <w:b/>
          <w:color w:val="42402C" w:themeColor="accent4" w:themeShade="80"/>
          <w:u w:val="single"/>
        </w:rPr>
        <w:t xml:space="preserve"> - RASHODI ZA NABAVU NEFINANCIJSKE IMOVINE</w:t>
      </w:r>
      <w:r w:rsidR="00E138A3" w:rsidRPr="00E138A3">
        <w:rPr>
          <w:b/>
          <w:color w:val="42402C" w:themeColor="accent4" w:themeShade="80"/>
          <w:u w:val="single"/>
        </w:rPr>
        <w:tab/>
        <w:t xml:space="preserve"> Indeks </w:t>
      </w:r>
      <w:r w:rsidR="00A15567">
        <w:rPr>
          <w:b/>
          <w:color w:val="42402C" w:themeColor="accent4" w:themeShade="80"/>
          <w:u w:val="single"/>
        </w:rPr>
        <w:t>263</w:t>
      </w:r>
      <w:r w:rsidR="009B729E">
        <w:rPr>
          <w:b/>
          <w:color w:val="42402C" w:themeColor="accent4" w:themeShade="80"/>
          <w:u w:val="single"/>
        </w:rPr>
        <w:t>,</w:t>
      </w:r>
      <w:r w:rsidR="00204204">
        <w:rPr>
          <w:b/>
          <w:color w:val="42402C" w:themeColor="accent4" w:themeShade="80"/>
          <w:u w:val="single"/>
        </w:rPr>
        <w:t>3</w:t>
      </w:r>
    </w:p>
    <w:p w:rsidR="00E138A3" w:rsidRPr="00E138A3" w:rsidRDefault="00E138A3" w:rsidP="00E138A3">
      <w:pPr>
        <w:tabs>
          <w:tab w:val="decimal" w:pos="7371"/>
          <w:tab w:val="decimal" w:pos="8789"/>
        </w:tabs>
        <w:spacing w:after="0"/>
        <w:rPr>
          <w:b/>
          <w:bCs/>
          <w:iCs/>
        </w:rPr>
      </w:pPr>
      <w:r w:rsidRPr="00E138A3">
        <w:rPr>
          <w:b/>
          <w:bCs/>
          <w:iCs/>
        </w:rPr>
        <w:t>OSTVARENI RASHODI PRETHODNA GODINA</w:t>
      </w:r>
      <w:r w:rsidRPr="00E138A3">
        <w:rPr>
          <w:b/>
          <w:bCs/>
          <w:iCs/>
        </w:rPr>
        <w:tab/>
      </w:r>
      <w:r w:rsidR="00A15567">
        <w:rPr>
          <w:b/>
          <w:bCs/>
          <w:iCs/>
        </w:rPr>
        <w:t>20</w:t>
      </w:r>
      <w:r w:rsidR="009B729E">
        <w:rPr>
          <w:b/>
          <w:bCs/>
          <w:iCs/>
        </w:rPr>
        <w:t>.</w:t>
      </w:r>
      <w:r w:rsidR="00A15567">
        <w:rPr>
          <w:b/>
          <w:bCs/>
          <w:iCs/>
        </w:rPr>
        <w:t>897</w:t>
      </w:r>
      <w:r w:rsidR="009B729E">
        <w:rPr>
          <w:b/>
          <w:bCs/>
          <w:iCs/>
        </w:rPr>
        <w:t>.</w:t>
      </w:r>
      <w:r w:rsidR="00A15567">
        <w:rPr>
          <w:b/>
          <w:bCs/>
          <w:iCs/>
        </w:rPr>
        <w:t>495</w:t>
      </w:r>
      <w:r w:rsidR="000B2CED" w:rsidRPr="000B2CED">
        <w:rPr>
          <w:b/>
          <w:bCs/>
          <w:iCs/>
        </w:rPr>
        <w:t>,00 kuna</w:t>
      </w:r>
    </w:p>
    <w:p w:rsidR="00E138A3" w:rsidRPr="00E138A3" w:rsidRDefault="00E138A3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E138A3">
        <w:rPr>
          <w:b/>
          <w:bCs/>
          <w:iCs/>
        </w:rPr>
        <w:t>OSTVARENI RASHODI TEKUĆA GODINA</w:t>
      </w:r>
      <w:r w:rsidRPr="00E138A3">
        <w:rPr>
          <w:bCs/>
          <w:iCs/>
        </w:rPr>
        <w:tab/>
      </w:r>
      <w:r w:rsidR="00A15567" w:rsidRPr="00A15567">
        <w:rPr>
          <w:b/>
          <w:bCs/>
          <w:iCs/>
        </w:rPr>
        <w:t>55</w:t>
      </w:r>
      <w:r w:rsidR="009B729E">
        <w:rPr>
          <w:b/>
          <w:bCs/>
          <w:iCs/>
        </w:rPr>
        <w:t>.</w:t>
      </w:r>
      <w:r w:rsidR="00A15567">
        <w:rPr>
          <w:b/>
          <w:bCs/>
          <w:iCs/>
        </w:rPr>
        <w:t>027</w:t>
      </w:r>
      <w:r w:rsidR="009B729E">
        <w:rPr>
          <w:b/>
          <w:bCs/>
          <w:iCs/>
        </w:rPr>
        <w:t>.</w:t>
      </w:r>
      <w:r w:rsidR="00A15567">
        <w:rPr>
          <w:b/>
          <w:bCs/>
          <w:iCs/>
        </w:rPr>
        <w:t>528</w:t>
      </w:r>
      <w:r w:rsidRPr="00E138A3">
        <w:rPr>
          <w:b/>
          <w:bCs/>
          <w:iCs/>
        </w:rPr>
        <w:t>,00</w:t>
      </w:r>
      <w:r w:rsidR="004F4F1A" w:rsidRPr="004F4F1A">
        <w:rPr>
          <w:b/>
          <w:bCs/>
          <w:iCs/>
        </w:rPr>
        <w:t xml:space="preserve"> </w:t>
      </w:r>
      <w:r w:rsidR="004F4F1A">
        <w:rPr>
          <w:b/>
          <w:bCs/>
          <w:iCs/>
        </w:rPr>
        <w:t>kuna</w:t>
      </w:r>
      <w:r w:rsidRPr="00E138A3">
        <w:rPr>
          <w:bCs/>
          <w:iCs/>
        </w:rPr>
        <w:tab/>
      </w:r>
    </w:p>
    <w:p w:rsidR="00A15567" w:rsidRDefault="009B729E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Ostvareno je značajno </w:t>
      </w:r>
      <w:r w:rsidR="00F5534A">
        <w:rPr>
          <w:bCs/>
          <w:iCs/>
        </w:rPr>
        <w:t>poveća</w:t>
      </w:r>
      <w:r>
        <w:rPr>
          <w:bCs/>
          <w:iCs/>
        </w:rPr>
        <w:t>nje</w:t>
      </w:r>
      <w:r w:rsidR="00E138A3" w:rsidRPr="00E138A3">
        <w:rPr>
          <w:bCs/>
          <w:iCs/>
        </w:rPr>
        <w:t xml:space="preserve"> rashoda za nabavu nefinancijske imovine u odnosu na isto razdoblje protekle godine. </w:t>
      </w:r>
    </w:p>
    <w:p w:rsidR="00E138A3" w:rsidRDefault="00E974F7" w:rsidP="00E974F7">
      <w:pPr>
        <w:tabs>
          <w:tab w:val="decimal" w:pos="7371"/>
          <w:tab w:val="decimal" w:pos="8789"/>
        </w:tabs>
        <w:spacing w:after="0"/>
        <w:rPr>
          <w:bCs/>
          <w:iCs/>
        </w:rPr>
      </w:pPr>
      <w:r>
        <w:rPr>
          <w:bCs/>
          <w:iCs/>
        </w:rPr>
        <w:t xml:space="preserve">Radi prilagođavanja uvjeta poslovanja </w:t>
      </w:r>
      <w:r w:rsidR="003A0743">
        <w:rPr>
          <w:bCs/>
          <w:iCs/>
        </w:rPr>
        <w:t>zbog</w:t>
      </w:r>
      <w:r>
        <w:rPr>
          <w:bCs/>
          <w:iCs/>
        </w:rPr>
        <w:t xml:space="preserve"> izbijanja epidemije bolesti COVID-19, reorganizacije rada bolničkih odjela, Opća bolnica Zadar morala je prilagoditi prostore</w:t>
      </w:r>
      <w:r w:rsidR="003A0743">
        <w:rPr>
          <w:bCs/>
          <w:iCs/>
        </w:rPr>
        <w:t>,</w:t>
      </w:r>
      <w:r>
        <w:rPr>
          <w:bCs/>
          <w:iCs/>
        </w:rPr>
        <w:t xml:space="preserve"> te nabaviti prikladnu medicinsku opremu za zbrinjavanje zaraženih pacijenata, a u isto vrijeme i održavati visoku kvalitetu i razinu javne zdravstvene zaštite koju pruža svim ostalim pacijentima. Nadalje, temeljem </w:t>
      </w:r>
      <w:r w:rsidRPr="00E974F7">
        <w:rPr>
          <w:bCs/>
          <w:iCs/>
        </w:rPr>
        <w:t>Odluke o raspodjeli financijskih sredstava ostvarenih prodajom nekretnina zgrade i zemljišta Zavoda za javno zdravstvo Zadar (KLASA: 406-01/20-01/16, URBROJ: 2198/1-02-20-3), kojom su Općoj bolnici Zadar dodijeljena sredstva u iznosu od 10.834.455,99 kn</w:t>
      </w:r>
      <w:r>
        <w:rPr>
          <w:bCs/>
          <w:iCs/>
        </w:rPr>
        <w:t>, Opća bolnica Zadar je dio s</w:t>
      </w:r>
      <w:r w:rsidRPr="00E974F7">
        <w:rPr>
          <w:bCs/>
          <w:iCs/>
        </w:rPr>
        <w:t>redst</w:t>
      </w:r>
      <w:r>
        <w:rPr>
          <w:bCs/>
          <w:iCs/>
        </w:rPr>
        <w:t>a</w:t>
      </w:r>
      <w:r w:rsidRPr="00E974F7">
        <w:rPr>
          <w:bCs/>
          <w:iCs/>
        </w:rPr>
        <w:t xml:space="preserve">va </w:t>
      </w:r>
      <w:r>
        <w:rPr>
          <w:bCs/>
          <w:iCs/>
        </w:rPr>
        <w:t xml:space="preserve">iskoristila za </w:t>
      </w:r>
      <w:r w:rsidRPr="00E974F7">
        <w:rPr>
          <w:bCs/>
          <w:iCs/>
        </w:rPr>
        <w:t>dovođenj</w:t>
      </w:r>
      <w:r>
        <w:rPr>
          <w:bCs/>
          <w:iCs/>
        </w:rPr>
        <w:t>e</w:t>
      </w:r>
      <w:r w:rsidRPr="00E974F7">
        <w:rPr>
          <w:bCs/>
          <w:iCs/>
        </w:rPr>
        <w:t xml:space="preserve"> </w:t>
      </w:r>
      <w:r w:rsidR="003A0743" w:rsidRPr="00E974F7">
        <w:rPr>
          <w:bCs/>
          <w:iCs/>
        </w:rPr>
        <w:t xml:space="preserve">ROH-BAU </w:t>
      </w:r>
      <w:r w:rsidRPr="00E974F7">
        <w:rPr>
          <w:bCs/>
          <w:iCs/>
        </w:rPr>
        <w:t>prostora u funkciju te opremanj</w:t>
      </w:r>
      <w:r>
        <w:rPr>
          <w:bCs/>
          <w:iCs/>
        </w:rPr>
        <w:t>e</w:t>
      </w:r>
      <w:r w:rsidRPr="00E974F7">
        <w:rPr>
          <w:bCs/>
          <w:iCs/>
        </w:rPr>
        <w:t xml:space="preserve"> istih specijaliziranim namještajem i medicinskom opremom za obavljanje zdravstvene djelatnosti u razini minimalnih standarda </w:t>
      </w:r>
      <w:r>
        <w:rPr>
          <w:bCs/>
          <w:iCs/>
        </w:rPr>
        <w:t>za pružanje zdravstvene zaštite, ponajviše u pogledu opremanja novog prostora Centralnog laboratorija u prizemlju zgrade Poliklinike. Nastavljena je i gradnja</w:t>
      </w:r>
      <w:r w:rsidR="00F5534A">
        <w:rPr>
          <w:bCs/>
          <w:iCs/>
        </w:rPr>
        <w:t xml:space="preserve"> zgrade dnevnih bolnica, financirana bespovratnim sredstvima iz fondova EU</w:t>
      </w:r>
      <w:r w:rsidR="009B729E">
        <w:rPr>
          <w:bCs/>
          <w:iCs/>
        </w:rPr>
        <w:t xml:space="preserve">. </w:t>
      </w:r>
      <w:r>
        <w:rPr>
          <w:bCs/>
          <w:iCs/>
        </w:rPr>
        <w:t>Zahvaljujući mnogobrojnim donacijama, kako u novcu, tako i u naravi, Opća bolnica Zadar je za potrebe zbrinjavanja pacijenata zaraženih virusom SARS-CoV-2, nabavila odgovarajuće medicinske uređaje, a iz vlastitih sredstava je, sukladno</w:t>
      </w:r>
      <w:r w:rsidR="00E138A3" w:rsidRPr="00E138A3">
        <w:rPr>
          <w:bCs/>
          <w:iCs/>
        </w:rPr>
        <w:t xml:space="preserve"> mjerama racionalizacije poslovanja, </w:t>
      </w:r>
      <w:r>
        <w:rPr>
          <w:bCs/>
          <w:iCs/>
        </w:rPr>
        <w:t>nabavljala samo neplaniranu, hitnu i neophodnu medicinsku opremu</w:t>
      </w:r>
      <w:r w:rsidR="00E138A3" w:rsidRPr="00E138A3">
        <w:rPr>
          <w:bCs/>
          <w:iCs/>
        </w:rPr>
        <w:t xml:space="preserve">. </w:t>
      </w:r>
      <w:r w:rsidR="001B68DB">
        <w:rPr>
          <w:bCs/>
          <w:iCs/>
        </w:rPr>
        <w:t>U tablici ispod dan je sažeti prikaz svih kapitalnih ulaganja prema izvorima financiranja koje je Opća bolnica Zadar imala u 2020. godini.</w:t>
      </w:r>
    </w:p>
    <w:p w:rsidR="00AA5CD7" w:rsidRDefault="00AA5CD7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</w:p>
    <w:p w:rsidR="00E138A3" w:rsidRDefault="00E138A3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  <w:r w:rsidRPr="00E138A3">
        <w:rPr>
          <w:b/>
          <w:bCs/>
          <w:iCs/>
        </w:rPr>
        <w:t>Struktura rashoda za nab</w:t>
      </w:r>
      <w:r w:rsidR="000B2CED">
        <w:rPr>
          <w:b/>
          <w:bCs/>
          <w:iCs/>
        </w:rPr>
        <w:t xml:space="preserve">avu nefinancijske imovine </w:t>
      </w:r>
      <w:r w:rsidR="009B729E">
        <w:rPr>
          <w:b/>
          <w:bCs/>
          <w:iCs/>
        </w:rPr>
        <w:t>po izvorima financiranja u  20</w:t>
      </w:r>
      <w:r w:rsidR="00B8264E">
        <w:rPr>
          <w:b/>
          <w:bCs/>
          <w:iCs/>
        </w:rPr>
        <w:t>20</w:t>
      </w:r>
      <w:r w:rsidRPr="00E138A3">
        <w:rPr>
          <w:b/>
          <w:bCs/>
          <w:iCs/>
        </w:rPr>
        <w:t>.</w:t>
      </w:r>
      <w:r w:rsidR="000B2CED">
        <w:rPr>
          <w:b/>
          <w:bCs/>
          <w:iCs/>
        </w:rPr>
        <w:t xml:space="preserve"> godini</w:t>
      </w:r>
    </w:p>
    <w:p w:rsidR="009B729E" w:rsidRDefault="001B68DB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  <w:r w:rsidRPr="001B68DB">
        <w:rPr>
          <w:noProof/>
          <w:lang w:eastAsia="hr-HR"/>
        </w:rPr>
        <w:drawing>
          <wp:inline distT="0" distB="0" distL="0" distR="0">
            <wp:extent cx="6645910" cy="8801872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0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DB" w:rsidRDefault="001B68DB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</w:p>
    <w:p w:rsidR="003E480C" w:rsidRDefault="001B68DB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  <w:r w:rsidRPr="001B68DB">
        <w:rPr>
          <w:noProof/>
          <w:lang w:eastAsia="hr-HR"/>
        </w:rPr>
        <w:drawing>
          <wp:inline distT="0" distB="0" distL="0" distR="0">
            <wp:extent cx="6645910" cy="8286428"/>
            <wp:effectExtent l="0" t="0" r="2540" b="63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8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8DB" w:rsidRDefault="001B68DB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</w:p>
    <w:p w:rsidR="001B68DB" w:rsidRDefault="001B68DB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</w:p>
    <w:p w:rsidR="001B68DB" w:rsidRDefault="001B68DB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</w:p>
    <w:p w:rsidR="001B68DB" w:rsidRDefault="001B68DB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</w:p>
    <w:p w:rsidR="001B68DB" w:rsidRDefault="001B68DB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</w:p>
    <w:p w:rsidR="001B68DB" w:rsidRDefault="001B68DB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  <w:r w:rsidRPr="001B68DB">
        <w:rPr>
          <w:noProof/>
          <w:lang w:eastAsia="hr-HR"/>
        </w:rPr>
        <w:drawing>
          <wp:inline distT="0" distB="0" distL="0" distR="0">
            <wp:extent cx="6645910" cy="4457172"/>
            <wp:effectExtent l="0" t="0" r="2540" b="63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5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0C" w:rsidRDefault="003E480C" w:rsidP="00E138A3">
      <w:pPr>
        <w:tabs>
          <w:tab w:val="decimal" w:pos="7371"/>
          <w:tab w:val="decimal" w:pos="8789"/>
        </w:tabs>
        <w:spacing w:after="0"/>
        <w:jc w:val="center"/>
        <w:rPr>
          <w:b/>
          <w:bCs/>
          <w:iCs/>
        </w:rPr>
      </w:pPr>
    </w:p>
    <w:p w:rsidR="00E138A3" w:rsidRPr="00364442" w:rsidRDefault="00364442" w:rsidP="00364442">
      <w:pPr>
        <w:tabs>
          <w:tab w:val="decimal" w:pos="7371"/>
          <w:tab w:val="decimal" w:pos="8789"/>
        </w:tabs>
        <w:spacing w:after="0"/>
        <w:jc w:val="left"/>
        <w:rPr>
          <w:b/>
          <w:color w:val="42402C" w:themeColor="accent4" w:themeShade="80"/>
          <w:u w:val="single"/>
        </w:rPr>
      </w:pPr>
      <w:r>
        <w:rPr>
          <w:b/>
          <w:color w:val="42402C" w:themeColor="accent4" w:themeShade="80"/>
          <w:u w:val="single"/>
        </w:rPr>
        <w:t>Rezultat</w:t>
      </w:r>
      <w:r w:rsidRPr="00364442">
        <w:rPr>
          <w:b/>
          <w:color w:val="42402C" w:themeColor="accent4" w:themeShade="80"/>
          <w:u w:val="single"/>
        </w:rPr>
        <w:t xml:space="preserve"> poslovanja</w:t>
      </w:r>
    </w:p>
    <w:p w:rsidR="00364442" w:rsidRDefault="005E4EFE" w:rsidP="000B2CED">
      <w:pPr>
        <w:tabs>
          <w:tab w:val="decimal" w:pos="7371"/>
          <w:tab w:val="decimal" w:pos="8789"/>
        </w:tabs>
        <w:spacing w:after="0"/>
        <w:jc w:val="center"/>
        <w:rPr>
          <w:noProof/>
          <w:lang w:eastAsia="hr-HR"/>
        </w:rPr>
      </w:pPr>
      <w:r w:rsidRPr="005E4EFE">
        <w:rPr>
          <w:noProof/>
          <w:lang w:eastAsia="hr-HR"/>
        </w:rPr>
        <w:drawing>
          <wp:inline distT="0" distB="0" distL="0" distR="0">
            <wp:extent cx="6645910" cy="2966645"/>
            <wp:effectExtent l="0" t="0" r="2540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42" w:rsidRDefault="00364442" w:rsidP="000B2CED">
      <w:pPr>
        <w:tabs>
          <w:tab w:val="decimal" w:pos="7371"/>
          <w:tab w:val="decimal" w:pos="8789"/>
        </w:tabs>
        <w:spacing w:after="0"/>
        <w:jc w:val="center"/>
        <w:rPr>
          <w:noProof/>
          <w:lang w:eastAsia="hr-HR"/>
        </w:rPr>
      </w:pPr>
    </w:p>
    <w:p w:rsidR="00E138A3" w:rsidRPr="00E138A3" w:rsidRDefault="00E138A3" w:rsidP="00E138A3">
      <w:pPr>
        <w:numPr>
          <w:ilvl w:val="0"/>
          <w:numId w:val="2"/>
        </w:numPr>
        <w:tabs>
          <w:tab w:val="decimal" w:pos="7371"/>
          <w:tab w:val="decimal" w:pos="8789"/>
        </w:tabs>
        <w:spacing w:before="240" w:after="120" w:line="240" w:lineRule="auto"/>
        <w:contextualSpacing/>
        <w:rPr>
          <w:b/>
          <w:color w:val="42402C" w:themeColor="accent4" w:themeShade="80"/>
          <w:u w:val="single"/>
        </w:rPr>
      </w:pPr>
      <w:r w:rsidRPr="00E138A3">
        <w:rPr>
          <w:b/>
          <w:color w:val="42402C" w:themeColor="accent4" w:themeShade="80"/>
          <w:u w:val="single"/>
        </w:rPr>
        <w:t>AOP-</w:t>
      </w:r>
      <w:r w:rsidR="003D57ED">
        <w:rPr>
          <w:b/>
          <w:color w:val="42402C" w:themeColor="accent4" w:themeShade="80"/>
          <w:u w:val="single"/>
        </w:rPr>
        <w:t>63</w:t>
      </w:r>
      <w:r w:rsidR="005E4EFE">
        <w:rPr>
          <w:b/>
          <w:color w:val="42402C" w:themeColor="accent4" w:themeShade="80"/>
          <w:u w:val="single"/>
        </w:rPr>
        <w:t>2</w:t>
      </w:r>
      <w:r w:rsidRPr="00E138A3">
        <w:rPr>
          <w:b/>
          <w:color w:val="42402C" w:themeColor="accent4" w:themeShade="80"/>
          <w:u w:val="single"/>
        </w:rPr>
        <w:t xml:space="preserve"> </w:t>
      </w:r>
      <w:r w:rsidR="005E4EFE">
        <w:rPr>
          <w:b/>
          <w:color w:val="42402C" w:themeColor="accent4" w:themeShade="80"/>
          <w:u w:val="single"/>
        </w:rPr>
        <w:t>MANJ</w:t>
      </w:r>
      <w:r w:rsidR="003D57ED">
        <w:rPr>
          <w:b/>
          <w:color w:val="42402C" w:themeColor="accent4" w:themeShade="80"/>
          <w:u w:val="single"/>
        </w:rPr>
        <w:t>AK</w:t>
      </w:r>
      <w:r w:rsidR="00D46650">
        <w:rPr>
          <w:b/>
          <w:color w:val="42402C" w:themeColor="accent4" w:themeShade="80"/>
          <w:u w:val="single"/>
        </w:rPr>
        <w:t xml:space="preserve"> PRIHODA I PRIMITAKA </w:t>
      </w:r>
    </w:p>
    <w:p w:rsidR="00E138A3" w:rsidRPr="00154501" w:rsidRDefault="005E4EFE" w:rsidP="00E138A3">
      <w:pPr>
        <w:tabs>
          <w:tab w:val="decimal" w:pos="7371"/>
          <w:tab w:val="decimal" w:pos="8789"/>
        </w:tabs>
        <w:spacing w:after="0"/>
      </w:pPr>
      <w:r w:rsidRPr="00154501">
        <w:t>Manjak</w:t>
      </w:r>
      <w:r w:rsidR="009B729E" w:rsidRPr="00154501">
        <w:t xml:space="preserve"> prihoda i primitaka za 20</w:t>
      </w:r>
      <w:r w:rsidRPr="00154501">
        <w:t>20</w:t>
      </w:r>
      <w:r w:rsidR="00E138A3" w:rsidRPr="00154501">
        <w:t xml:space="preserve">. godinu iznosi </w:t>
      </w:r>
      <w:r w:rsidRPr="00154501">
        <w:t>40</w:t>
      </w:r>
      <w:r w:rsidR="00F5534A" w:rsidRPr="00154501">
        <w:t>.</w:t>
      </w:r>
      <w:r w:rsidRPr="00154501">
        <w:t>121</w:t>
      </w:r>
      <w:r w:rsidR="00F5534A" w:rsidRPr="00154501">
        <w:t>.</w:t>
      </w:r>
      <w:r w:rsidRPr="00154501">
        <w:t>945</w:t>
      </w:r>
      <w:r w:rsidR="00E138A3" w:rsidRPr="00154501">
        <w:t xml:space="preserve">,00 kuna. </w:t>
      </w:r>
    </w:p>
    <w:p w:rsidR="00154501" w:rsidRDefault="00154501" w:rsidP="00154501">
      <w:pPr>
        <w:tabs>
          <w:tab w:val="decimal" w:pos="7371"/>
          <w:tab w:val="decimal" w:pos="8789"/>
        </w:tabs>
        <w:spacing w:after="0"/>
      </w:pPr>
      <w:r>
        <w:t>Razlog negativnog financijskog poslovanja u najvećoj mjeri leži u činjenici naglog povećanja rashoda (nabav</w:t>
      </w:r>
      <w:r w:rsidR="003A0743">
        <w:t>ka medicinske opreme, prilagodbe</w:t>
      </w:r>
      <w:r>
        <w:t xml:space="preserve"> prostora, </w:t>
      </w:r>
      <w:r w:rsidR="003A0743">
        <w:t>nabavke zaštitne opreme</w:t>
      </w:r>
      <w:r>
        <w:t>, izmjena</w:t>
      </w:r>
      <w:r w:rsidR="003A0743">
        <w:t>ma</w:t>
      </w:r>
      <w:r>
        <w:t xml:space="preserve"> kolektivnog ugovora i uputa za isplatu plaća i</w:t>
      </w:r>
      <w:r w:rsidR="00656525">
        <w:t xml:space="preserve"> </w:t>
      </w:r>
      <w:r>
        <w:t xml:space="preserve">sl.), te zbog smanjenog obujma rada </w:t>
      </w:r>
      <w:r w:rsidR="003A0743">
        <w:t xml:space="preserve">i </w:t>
      </w:r>
      <w:r>
        <w:t>značajno</w:t>
      </w:r>
      <w:r w:rsidR="003A0743">
        <w:t>g smanjenja</w:t>
      </w:r>
      <w:r>
        <w:t xml:space="preserve"> prihoda</w:t>
      </w:r>
      <w:r w:rsidR="00656525">
        <w:t>, a</w:t>
      </w:r>
      <w:r>
        <w:t xml:space="preserve"> sve uslijed prilagodbe novim </w:t>
      </w:r>
      <w:r>
        <w:lastRenderedPageBreak/>
        <w:t xml:space="preserve">okolnostima uzrokovanim Odlukama </w:t>
      </w:r>
      <w:r w:rsidR="00656525">
        <w:t>N</w:t>
      </w:r>
      <w:r>
        <w:t>acionalnog stožera</w:t>
      </w:r>
      <w:r w:rsidR="00656525">
        <w:t xml:space="preserve"> civilne zaštite</w:t>
      </w:r>
      <w:r>
        <w:t xml:space="preserve">, resornog  </w:t>
      </w:r>
      <w:r w:rsidR="00656525">
        <w:t>M</w:t>
      </w:r>
      <w:r>
        <w:t>inistarstva, a vezano za prisutnost i utjecaj virusa SARS-CoV-2.</w:t>
      </w:r>
    </w:p>
    <w:p w:rsidR="00154501" w:rsidRDefault="00154501" w:rsidP="00154501">
      <w:pPr>
        <w:tabs>
          <w:tab w:val="decimal" w:pos="7371"/>
          <w:tab w:val="decimal" w:pos="8789"/>
        </w:tabs>
        <w:spacing w:after="0"/>
      </w:pPr>
      <w:r>
        <w:t>Sve propisane prilagodbe (prostora opreme i sl.) zahtijeval</w:t>
      </w:r>
      <w:r w:rsidR="00656525">
        <w:t>e su</w:t>
      </w:r>
      <w:r>
        <w:t xml:space="preserve"> velike izdatke, te tako značajno povećal</w:t>
      </w:r>
      <w:r w:rsidR="00656525">
        <w:t>e</w:t>
      </w:r>
      <w:r>
        <w:t xml:space="preserve"> rashode poslovanja u odnosu na 2019. godinu. U razdoblju siječanj – prosinac 2020. godine</w:t>
      </w:r>
      <w:r w:rsidR="00656525">
        <w:t>, rashodi poslovanja povećani su</w:t>
      </w:r>
      <w:r>
        <w:t xml:space="preserve"> u odnosu na isto razdoblje protekle godine</w:t>
      </w:r>
      <w:r w:rsidR="00656525">
        <w:t>, i to</w:t>
      </w:r>
      <w:r>
        <w:t>:</w:t>
      </w:r>
    </w:p>
    <w:p w:rsidR="00154501" w:rsidRPr="00154501" w:rsidRDefault="00154501" w:rsidP="00154501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154501">
        <w:rPr>
          <w:b w:val="0"/>
          <w:color w:val="auto"/>
          <w:u w:val="none"/>
        </w:rPr>
        <w:t xml:space="preserve">Rashodi za lijekove porasli </w:t>
      </w:r>
      <w:r>
        <w:rPr>
          <w:b w:val="0"/>
          <w:color w:val="auto"/>
          <w:u w:val="none"/>
        </w:rPr>
        <w:t xml:space="preserve">su </w:t>
      </w:r>
      <w:r w:rsidRPr="00154501">
        <w:rPr>
          <w:b w:val="0"/>
          <w:color w:val="auto"/>
          <w:u w:val="none"/>
        </w:rPr>
        <w:t xml:space="preserve">za </w:t>
      </w:r>
      <w:r>
        <w:rPr>
          <w:b w:val="0"/>
          <w:color w:val="auto"/>
          <w:u w:val="none"/>
        </w:rPr>
        <w:t xml:space="preserve">6.838.857,00 </w:t>
      </w:r>
      <w:r w:rsidRPr="00154501">
        <w:rPr>
          <w:b w:val="0"/>
          <w:color w:val="auto"/>
          <w:u w:val="none"/>
        </w:rPr>
        <w:t xml:space="preserve">kuna; </w:t>
      </w:r>
    </w:p>
    <w:p w:rsidR="00154501" w:rsidRPr="00154501" w:rsidRDefault="00154501" w:rsidP="00154501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154501">
        <w:rPr>
          <w:b w:val="0"/>
          <w:color w:val="auto"/>
          <w:u w:val="none"/>
        </w:rPr>
        <w:t xml:space="preserve">Rashodi za potrošni medicinski materijal porasli </w:t>
      </w:r>
      <w:r w:rsidR="00656525">
        <w:rPr>
          <w:b w:val="0"/>
          <w:color w:val="auto"/>
          <w:u w:val="none"/>
        </w:rPr>
        <w:t xml:space="preserve">su </w:t>
      </w:r>
      <w:r w:rsidRPr="00154501">
        <w:rPr>
          <w:b w:val="0"/>
          <w:color w:val="auto"/>
          <w:u w:val="none"/>
        </w:rPr>
        <w:t>za 6.025.033,00 kuna;</w:t>
      </w:r>
    </w:p>
    <w:p w:rsidR="00154501" w:rsidRDefault="00154501" w:rsidP="00154501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154501">
        <w:rPr>
          <w:b w:val="0"/>
          <w:color w:val="auto"/>
          <w:u w:val="none"/>
        </w:rPr>
        <w:t xml:space="preserve">Rashodi za zaštitnu odjeću i obuću porasli </w:t>
      </w:r>
      <w:r w:rsidR="00656525">
        <w:rPr>
          <w:b w:val="0"/>
          <w:color w:val="auto"/>
          <w:u w:val="none"/>
        </w:rPr>
        <w:t xml:space="preserve">su </w:t>
      </w:r>
      <w:r w:rsidRPr="00154501">
        <w:rPr>
          <w:b w:val="0"/>
          <w:color w:val="auto"/>
          <w:u w:val="none"/>
        </w:rPr>
        <w:t>za 2.426.796,00</w:t>
      </w:r>
      <w:r>
        <w:rPr>
          <w:b w:val="0"/>
          <w:color w:val="auto"/>
          <w:u w:val="none"/>
        </w:rPr>
        <w:t xml:space="preserve"> kuna;</w:t>
      </w:r>
    </w:p>
    <w:p w:rsidR="00B64E9E" w:rsidRDefault="00154501" w:rsidP="00154501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154501">
        <w:rPr>
          <w:b w:val="0"/>
          <w:color w:val="auto"/>
          <w:u w:val="none"/>
        </w:rPr>
        <w:t xml:space="preserve">Tekuće i investicijsko održavanje građevinskih objekata i opreme porasli </w:t>
      </w:r>
      <w:r w:rsidR="00656525">
        <w:rPr>
          <w:b w:val="0"/>
          <w:color w:val="auto"/>
          <w:u w:val="none"/>
        </w:rPr>
        <w:t xml:space="preserve">su </w:t>
      </w:r>
      <w:r w:rsidRPr="00154501">
        <w:rPr>
          <w:b w:val="0"/>
          <w:color w:val="auto"/>
          <w:u w:val="none"/>
        </w:rPr>
        <w:t>za: 1.921.345,00 kuna</w:t>
      </w:r>
      <w:r w:rsidR="00FF3EA2">
        <w:rPr>
          <w:b w:val="0"/>
          <w:color w:val="auto"/>
          <w:u w:val="none"/>
        </w:rPr>
        <w:t>;</w:t>
      </w:r>
    </w:p>
    <w:p w:rsidR="00154501" w:rsidRPr="00FF3EA2" w:rsidRDefault="00B64E9E" w:rsidP="00B64E9E">
      <w:pPr>
        <w:tabs>
          <w:tab w:val="decimal" w:pos="7371"/>
          <w:tab w:val="decimal" w:pos="8789"/>
        </w:tabs>
        <w:spacing w:after="0"/>
        <w:ind w:left="66"/>
        <w:jc w:val="left"/>
        <w:rPr>
          <w:i/>
        </w:rPr>
      </w:pPr>
      <w:r w:rsidRPr="00FF3EA2">
        <w:rPr>
          <w:i/>
        </w:rPr>
        <w:t xml:space="preserve">(građevinske preinake Odjela i instalacija sustava </w:t>
      </w:r>
      <w:r w:rsidR="00FF3EA2" w:rsidRPr="00FF3EA2">
        <w:rPr>
          <w:i/>
        </w:rPr>
        <w:t>video nadzora</w:t>
      </w:r>
      <w:r w:rsidRPr="00FF3EA2">
        <w:rPr>
          <w:i/>
        </w:rPr>
        <w:t xml:space="preserve"> i kontrole pristupa COVID pozitivnim osobama, te nužni popravci i izmjene rezervnih dijelova na sofisticiranoj medicinskoj opremi)</w:t>
      </w:r>
    </w:p>
    <w:p w:rsidR="00B64E9E" w:rsidRPr="00FF3EA2" w:rsidRDefault="00FF3EA2" w:rsidP="00B64E9E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>Ugrađeni su s</w:t>
      </w:r>
      <w:r w:rsidR="00154501">
        <w:rPr>
          <w:b w:val="0"/>
          <w:color w:val="auto"/>
          <w:u w:val="none"/>
        </w:rPr>
        <w:t xml:space="preserve">ustavi za </w:t>
      </w:r>
      <w:r w:rsidR="00B64E9E">
        <w:rPr>
          <w:b w:val="0"/>
          <w:color w:val="auto"/>
          <w:u w:val="none"/>
        </w:rPr>
        <w:t>centralnu</w:t>
      </w:r>
      <w:r w:rsidR="00154501">
        <w:rPr>
          <w:b w:val="0"/>
          <w:color w:val="auto"/>
          <w:u w:val="none"/>
        </w:rPr>
        <w:t xml:space="preserve"> opskrbu kisikom s pripadajućim </w:t>
      </w:r>
      <w:r w:rsidR="00B64E9E">
        <w:rPr>
          <w:b w:val="0"/>
          <w:color w:val="auto"/>
          <w:u w:val="none"/>
        </w:rPr>
        <w:t>materijalima</w:t>
      </w:r>
      <w:r w:rsidR="00154501">
        <w:rPr>
          <w:b w:val="0"/>
          <w:color w:val="auto"/>
          <w:u w:val="none"/>
        </w:rPr>
        <w:t xml:space="preserve"> i uređajima, te ostali sitni inventar </w:t>
      </w:r>
      <w:r>
        <w:rPr>
          <w:b w:val="0"/>
          <w:color w:val="auto"/>
          <w:u w:val="none"/>
        </w:rPr>
        <w:t>(posteljno rublje, instrumenti</w:t>
      </w:r>
      <w:r w:rsidR="00656525">
        <w:rPr>
          <w:b w:val="0"/>
          <w:color w:val="auto"/>
          <w:u w:val="none"/>
        </w:rPr>
        <w:t>,</w:t>
      </w:r>
      <w:r>
        <w:rPr>
          <w:b w:val="0"/>
          <w:color w:val="auto"/>
          <w:u w:val="none"/>
        </w:rPr>
        <w:t xml:space="preserve"> medicinska pomagala i</w:t>
      </w:r>
      <w:r w:rsidR="00656525">
        <w:rPr>
          <w:b w:val="0"/>
          <w:color w:val="auto"/>
          <w:u w:val="none"/>
        </w:rPr>
        <w:t xml:space="preserve"> </w:t>
      </w:r>
      <w:r>
        <w:rPr>
          <w:b w:val="0"/>
          <w:color w:val="auto"/>
          <w:u w:val="none"/>
        </w:rPr>
        <w:t xml:space="preserve">sl.) </w:t>
      </w:r>
      <w:r w:rsidR="00154501">
        <w:rPr>
          <w:b w:val="0"/>
          <w:color w:val="auto"/>
          <w:u w:val="none"/>
        </w:rPr>
        <w:t xml:space="preserve">za opremanje COVID odjela </w:t>
      </w:r>
      <w:r>
        <w:rPr>
          <w:b w:val="0"/>
          <w:color w:val="auto"/>
          <w:u w:val="none"/>
        </w:rPr>
        <w:t xml:space="preserve">u iznosu od </w:t>
      </w:r>
      <w:r w:rsidR="00B64E9E">
        <w:rPr>
          <w:b w:val="0"/>
          <w:color w:val="auto"/>
          <w:u w:val="none"/>
        </w:rPr>
        <w:t>1.675.765,00 kuna;</w:t>
      </w:r>
    </w:p>
    <w:p w:rsidR="00B64E9E" w:rsidRPr="00FF3EA2" w:rsidRDefault="00B64E9E" w:rsidP="00656525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FF3EA2">
        <w:rPr>
          <w:b w:val="0"/>
          <w:color w:val="auto"/>
          <w:u w:val="none"/>
        </w:rPr>
        <w:t>Osim navedenog na porast rashoda je utjecalo i značajno povećanje rashoda za zbrinjavanje infektivnog otpada koji su porasli za 530.000,00 kuna, dok su rashodi za pranje „COVID“ posteljine iznosili 219.154,00 kuna.</w:t>
      </w:r>
    </w:p>
    <w:p w:rsidR="00154501" w:rsidRDefault="00154501" w:rsidP="00154501">
      <w:pPr>
        <w:tabs>
          <w:tab w:val="decimal" w:pos="7371"/>
          <w:tab w:val="decimal" w:pos="8789"/>
        </w:tabs>
        <w:spacing w:after="0"/>
      </w:pPr>
      <w:r>
        <w:t>Sukladno uputama nadležnog ministarstva Bolnica je smanjila svoj obujam rada, a djelatnike rasporedila na slobodne dane koji su sukladno naputcima plaćeni po prosjeku zadnjih</w:t>
      </w:r>
      <w:r w:rsidR="003A0743">
        <w:t xml:space="preserve"> tri mjeseca (s uključenim svim </w:t>
      </w:r>
      <w:r>
        <w:t>dodatcima za</w:t>
      </w:r>
      <w:r w:rsidR="003A0743">
        <w:t xml:space="preserve"> prekovremene, dežurstva i sl.). D</w:t>
      </w:r>
      <w:r w:rsidR="00FF3EA2">
        <w:t>jelatnicima koji su u samoizo</w:t>
      </w:r>
      <w:r w:rsidR="003A0743">
        <w:t xml:space="preserve">laciji (sukladno istom naputku) </w:t>
      </w:r>
      <w:r w:rsidR="00FF3EA2">
        <w:t>Bolnica je isplaćivala punu plaću,</w:t>
      </w:r>
      <w:r>
        <w:t xml:space="preserve"> </w:t>
      </w:r>
      <w:r w:rsidR="00FF3EA2">
        <w:t xml:space="preserve">a onima koji rade sa COVID pacijentima i uvećanje od 10% na osnovnu plaću. Sve navedeno, </w:t>
      </w:r>
      <w:r>
        <w:t>uz dvije izmjene prava iz granskog Kolektivnog ugovora uzrokovalo je ukupno po</w:t>
      </w:r>
      <w:r w:rsidR="00FF3EA2">
        <w:t xml:space="preserve">većanje rashoda za zaposlene u odnosu na proteklu godinu za </w:t>
      </w:r>
      <w:r w:rsidR="00FF3EA2" w:rsidRPr="00FF3EA2">
        <w:rPr>
          <w:u w:val="single"/>
        </w:rPr>
        <w:t>21.305.303,00</w:t>
      </w:r>
      <w:r w:rsidRPr="00FF3EA2">
        <w:rPr>
          <w:u w:val="single"/>
        </w:rPr>
        <w:t xml:space="preserve"> kuna.</w:t>
      </w:r>
    </w:p>
    <w:p w:rsidR="00FF3EA2" w:rsidRDefault="00FF3EA2" w:rsidP="00154501">
      <w:pPr>
        <w:tabs>
          <w:tab w:val="decimal" w:pos="7371"/>
          <w:tab w:val="decimal" w:pos="8789"/>
        </w:tabs>
        <w:spacing w:after="0"/>
      </w:pPr>
    </w:p>
    <w:p w:rsidR="00154501" w:rsidRDefault="00FF3EA2" w:rsidP="00154501">
      <w:pPr>
        <w:tabs>
          <w:tab w:val="decimal" w:pos="7371"/>
          <w:tab w:val="decimal" w:pos="8789"/>
        </w:tabs>
        <w:spacing w:after="0"/>
      </w:pPr>
      <w:r>
        <w:t>Sukladno Odlukama nacionalnog stožera, te resornog ministarstva smanjen je obujam rada u pojedinim</w:t>
      </w:r>
      <w:r w:rsidR="00DC3030">
        <w:t xml:space="preserve"> periodima godine što je uzrokovalo</w:t>
      </w:r>
      <w:r w:rsidR="00154501">
        <w:t xml:space="preserve"> značajan pad pojedinih vrsta prihoda (onih koji nisu vezani uz paušalnu uplatu „limita“) pa je tako Bolnica za razdoblje siječanj – </w:t>
      </w:r>
      <w:r w:rsidR="00656525">
        <w:t>prosinac</w:t>
      </w:r>
      <w:r w:rsidR="00154501">
        <w:t xml:space="preserve"> ostvarila manje prihode od onih u 2019. godini od:</w:t>
      </w:r>
    </w:p>
    <w:p w:rsidR="00DC3030" w:rsidRDefault="00DC3030" w:rsidP="00FF3EA2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>
        <w:rPr>
          <w:b w:val="0"/>
          <w:color w:val="auto"/>
          <w:u w:val="none"/>
        </w:rPr>
        <w:t>Proračuna (HZZO – osnovno osiguranje): 6.419.966,00 kuna</w:t>
      </w:r>
    </w:p>
    <w:p w:rsidR="00154501" w:rsidRPr="00FF3EA2" w:rsidRDefault="00154501" w:rsidP="00FF3EA2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FF3EA2">
        <w:rPr>
          <w:b w:val="0"/>
          <w:color w:val="auto"/>
          <w:u w:val="none"/>
        </w:rPr>
        <w:t xml:space="preserve">Dopunskog zdravstvenog osiguranja u iznosu od: </w:t>
      </w:r>
      <w:r w:rsidR="00DC3030">
        <w:rPr>
          <w:b w:val="0"/>
          <w:color w:val="auto"/>
          <w:u w:val="none"/>
        </w:rPr>
        <w:t>6.566.637,00</w:t>
      </w:r>
      <w:r w:rsidRPr="00FF3EA2">
        <w:rPr>
          <w:b w:val="0"/>
          <w:color w:val="auto"/>
          <w:u w:val="none"/>
        </w:rPr>
        <w:t xml:space="preserve"> kune;</w:t>
      </w:r>
    </w:p>
    <w:p w:rsidR="00154501" w:rsidRPr="00FF3EA2" w:rsidRDefault="00154501" w:rsidP="00FF3EA2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FF3EA2">
        <w:rPr>
          <w:b w:val="0"/>
          <w:color w:val="auto"/>
          <w:u w:val="none"/>
        </w:rPr>
        <w:t xml:space="preserve">Ostalih prihoda od strane HZZO-a izvan „limita“ od: </w:t>
      </w:r>
      <w:r w:rsidR="00DC3030">
        <w:rPr>
          <w:b w:val="0"/>
          <w:color w:val="auto"/>
          <w:u w:val="none"/>
        </w:rPr>
        <w:t xml:space="preserve">12.809.144,00 </w:t>
      </w:r>
      <w:r w:rsidRPr="00FF3EA2">
        <w:rPr>
          <w:b w:val="0"/>
          <w:color w:val="auto"/>
          <w:u w:val="none"/>
        </w:rPr>
        <w:t>kune;</w:t>
      </w:r>
    </w:p>
    <w:p w:rsidR="00154501" w:rsidRPr="00FF3EA2" w:rsidRDefault="00154501" w:rsidP="00FF3EA2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FF3EA2">
        <w:rPr>
          <w:b w:val="0"/>
          <w:color w:val="auto"/>
          <w:u w:val="none"/>
        </w:rPr>
        <w:t>Prihod</w:t>
      </w:r>
      <w:r w:rsidR="00656525">
        <w:rPr>
          <w:b w:val="0"/>
          <w:color w:val="auto"/>
          <w:u w:val="none"/>
        </w:rPr>
        <w:t xml:space="preserve">a </w:t>
      </w:r>
      <w:r w:rsidRPr="00FF3EA2">
        <w:rPr>
          <w:b w:val="0"/>
          <w:color w:val="auto"/>
          <w:u w:val="none"/>
        </w:rPr>
        <w:t xml:space="preserve">od pruženih usluga drugim zdravstvenim ustanovama: </w:t>
      </w:r>
      <w:r w:rsidR="00DC3030">
        <w:rPr>
          <w:b w:val="0"/>
          <w:color w:val="auto"/>
          <w:u w:val="none"/>
        </w:rPr>
        <w:t>264.948,00</w:t>
      </w:r>
      <w:r w:rsidRPr="00FF3EA2">
        <w:rPr>
          <w:b w:val="0"/>
          <w:color w:val="auto"/>
          <w:u w:val="none"/>
        </w:rPr>
        <w:t xml:space="preserve"> kuna;</w:t>
      </w:r>
    </w:p>
    <w:p w:rsidR="00154501" w:rsidRPr="00FF3EA2" w:rsidRDefault="00154501" w:rsidP="00FF3EA2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FF3EA2">
        <w:rPr>
          <w:b w:val="0"/>
          <w:color w:val="auto"/>
          <w:u w:val="none"/>
        </w:rPr>
        <w:t>Prihod od sistematskih pregleda, domaćih osigu</w:t>
      </w:r>
      <w:r w:rsidR="00DC3030">
        <w:rPr>
          <w:b w:val="0"/>
          <w:color w:val="auto"/>
          <w:u w:val="none"/>
        </w:rPr>
        <w:t>ranja, neosiguranih osoba i sl.</w:t>
      </w:r>
      <w:r w:rsidRPr="00FF3EA2">
        <w:rPr>
          <w:b w:val="0"/>
          <w:color w:val="auto"/>
          <w:u w:val="none"/>
        </w:rPr>
        <w:t xml:space="preserve">: </w:t>
      </w:r>
      <w:r w:rsidR="00DC3030">
        <w:rPr>
          <w:b w:val="0"/>
          <w:color w:val="auto"/>
          <w:u w:val="none"/>
        </w:rPr>
        <w:t>2.867.105,00</w:t>
      </w:r>
      <w:r w:rsidRPr="00FF3EA2">
        <w:rPr>
          <w:b w:val="0"/>
          <w:color w:val="auto"/>
          <w:u w:val="none"/>
        </w:rPr>
        <w:t xml:space="preserve"> kuna</w:t>
      </w:r>
      <w:r w:rsidR="00656525">
        <w:rPr>
          <w:b w:val="0"/>
          <w:color w:val="auto"/>
          <w:u w:val="none"/>
        </w:rPr>
        <w:t xml:space="preserve"> i</w:t>
      </w:r>
    </w:p>
    <w:p w:rsidR="00154501" w:rsidRPr="00FF3EA2" w:rsidRDefault="00154501" w:rsidP="00FF3EA2">
      <w:pPr>
        <w:pStyle w:val="ListParagraph"/>
        <w:numPr>
          <w:ilvl w:val="0"/>
          <w:numId w:val="29"/>
        </w:numPr>
        <w:tabs>
          <w:tab w:val="decimal" w:pos="7371"/>
          <w:tab w:val="decimal" w:pos="8789"/>
        </w:tabs>
        <w:spacing w:before="0" w:after="0"/>
        <w:ind w:left="426"/>
        <w:jc w:val="left"/>
        <w:rPr>
          <w:b w:val="0"/>
          <w:color w:val="auto"/>
          <w:u w:val="none"/>
        </w:rPr>
      </w:pPr>
      <w:r w:rsidRPr="00FF3EA2">
        <w:rPr>
          <w:b w:val="0"/>
          <w:color w:val="auto"/>
          <w:u w:val="none"/>
        </w:rPr>
        <w:t>Prihod</w:t>
      </w:r>
      <w:r w:rsidR="00656525">
        <w:rPr>
          <w:b w:val="0"/>
          <w:color w:val="auto"/>
          <w:u w:val="none"/>
        </w:rPr>
        <w:t>a</w:t>
      </w:r>
      <w:r w:rsidRPr="00FF3EA2">
        <w:rPr>
          <w:b w:val="0"/>
          <w:color w:val="auto"/>
          <w:u w:val="none"/>
        </w:rPr>
        <w:t xml:space="preserve"> od participacije </w:t>
      </w:r>
      <w:r w:rsidR="00DC3030">
        <w:rPr>
          <w:b w:val="0"/>
          <w:color w:val="auto"/>
          <w:u w:val="none"/>
        </w:rPr>
        <w:t>487.016</w:t>
      </w:r>
      <w:r w:rsidRPr="00FF3EA2">
        <w:rPr>
          <w:b w:val="0"/>
          <w:color w:val="auto"/>
          <w:u w:val="none"/>
        </w:rPr>
        <w:t>,00 kuna;</w:t>
      </w:r>
    </w:p>
    <w:p w:rsidR="00DC3030" w:rsidRDefault="00DC3030" w:rsidP="00154501">
      <w:pPr>
        <w:tabs>
          <w:tab w:val="decimal" w:pos="7371"/>
          <w:tab w:val="decimal" w:pos="8789"/>
        </w:tabs>
        <w:spacing w:after="0"/>
      </w:pPr>
    </w:p>
    <w:p w:rsidR="00154501" w:rsidRDefault="00154501" w:rsidP="00154501">
      <w:pPr>
        <w:tabs>
          <w:tab w:val="decimal" w:pos="7371"/>
          <w:tab w:val="decimal" w:pos="8789"/>
        </w:tabs>
        <w:spacing w:after="0"/>
      </w:pPr>
      <w:r>
        <w:t>Sv</w:t>
      </w:r>
      <w:r w:rsidR="00E33F1D">
        <w:t>e</w:t>
      </w:r>
      <w:r>
        <w:t xml:space="preserve"> naveden</w:t>
      </w:r>
      <w:r w:rsidR="00E33F1D">
        <w:t>o</w:t>
      </w:r>
      <w:r w:rsidR="00DC3030">
        <w:t xml:space="preserve"> značajn</w:t>
      </w:r>
      <w:r w:rsidR="003A0743">
        <w:t>o je povećalo rashode</w:t>
      </w:r>
      <w:r w:rsidR="00E33F1D">
        <w:t xml:space="preserve"> i smanjilo prihode iz redovnog poslovanja što je rezultiralo </w:t>
      </w:r>
      <w:r>
        <w:t>da Opća bolnica Zadar u svojim poslovnim knjigama za 2020.</w:t>
      </w:r>
      <w:r w:rsidR="00DC3030">
        <w:t xml:space="preserve"> godinu</w:t>
      </w:r>
      <w:r>
        <w:t xml:space="preserve"> bilježi ukupan manjak poslovanja u iznosu od</w:t>
      </w:r>
      <w:r w:rsidR="00DC3030">
        <w:t xml:space="preserve"> </w:t>
      </w:r>
      <w:r w:rsidR="00DC3030" w:rsidRPr="00154501">
        <w:t>40.121.945,00</w:t>
      </w:r>
      <w:r>
        <w:t>,00 kuna, a što je</w:t>
      </w:r>
      <w:r w:rsidR="00E33F1D">
        <w:t xml:space="preserve"> u konačnici </w:t>
      </w:r>
      <w:r>
        <w:t>uzrokovalo</w:t>
      </w:r>
      <w:r w:rsidR="00E33F1D">
        <w:t xml:space="preserve"> značajno smanjenje</w:t>
      </w:r>
      <w:r>
        <w:t xml:space="preserve"> </w:t>
      </w:r>
      <w:r w:rsidR="00E33F1D">
        <w:t>tekuće likvidnosti, te</w:t>
      </w:r>
      <w:r>
        <w:t xml:space="preserve"> povećanje dospjelih obveza u odnosu na stanje 31.12.2019. godine za </w:t>
      </w:r>
      <w:r w:rsidR="00DC3030" w:rsidRPr="00DC3030">
        <w:t xml:space="preserve">27.484.390,00 </w:t>
      </w:r>
      <w:r>
        <w:t>kuna</w:t>
      </w:r>
      <w:r w:rsidR="00E33F1D">
        <w:t>.</w:t>
      </w:r>
      <w:r>
        <w:t xml:space="preserve"> </w:t>
      </w:r>
    </w:p>
    <w:p w:rsidR="00E11A6F" w:rsidRPr="00154501" w:rsidRDefault="00E11A6F" w:rsidP="005E211B">
      <w:pPr>
        <w:tabs>
          <w:tab w:val="decimal" w:pos="7371"/>
          <w:tab w:val="decimal" w:pos="8789"/>
        </w:tabs>
        <w:spacing w:after="0"/>
      </w:pPr>
    </w:p>
    <w:p w:rsidR="00E138A3" w:rsidRPr="00154501" w:rsidRDefault="003D57ED" w:rsidP="00E138A3">
      <w:pPr>
        <w:numPr>
          <w:ilvl w:val="0"/>
          <w:numId w:val="2"/>
        </w:numPr>
        <w:tabs>
          <w:tab w:val="decimal" w:pos="7371"/>
          <w:tab w:val="decimal" w:pos="8789"/>
        </w:tabs>
        <w:spacing w:after="120" w:line="240" w:lineRule="auto"/>
        <w:contextualSpacing/>
        <w:rPr>
          <w:b/>
          <w:bCs/>
          <w:iCs/>
          <w:color w:val="42402C" w:themeColor="accent4" w:themeShade="80"/>
          <w:u w:val="single"/>
        </w:rPr>
      </w:pPr>
      <w:r w:rsidRPr="00154501">
        <w:rPr>
          <w:b/>
          <w:color w:val="42402C" w:themeColor="accent4" w:themeShade="80"/>
          <w:u w:val="single"/>
        </w:rPr>
        <w:t>AOP-636</w:t>
      </w:r>
      <w:r w:rsidR="00E138A3" w:rsidRPr="00154501">
        <w:rPr>
          <w:b/>
          <w:color w:val="42402C" w:themeColor="accent4" w:themeShade="80"/>
          <w:u w:val="single"/>
        </w:rPr>
        <w:t xml:space="preserve"> - MANJAK PRIHODA I PRIMITAKA ZA POKRIĆE U SLJEDEĆEM RAZDOBLJU  </w:t>
      </w:r>
    </w:p>
    <w:p w:rsidR="00E138A3" w:rsidRPr="00154501" w:rsidRDefault="00E138A3" w:rsidP="00E138A3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154501">
        <w:rPr>
          <w:bCs/>
          <w:iCs/>
        </w:rPr>
        <w:t xml:space="preserve">Manjak prihoda za pokriće u sljedećem razdoblju iznosi </w:t>
      </w:r>
      <w:r w:rsidR="00EF1090" w:rsidRPr="00EF1090">
        <w:rPr>
          <w:bCs/>
          <w:iCs/>
        </w:rPr>
        <w:t>111.968.672</w:t>
      </w:r>
      <w:r w:rsidRPr="00154501">
        <w:rPr>
          <w:bCs/>
          <w:iCs/>
        </w:rPr>
        <w:t>,00 kun</w:t>
      </w:r>
      <w:r w:rsidR="0094458C" w:rsidRPr="00154501">
        <w:rPr>
          <w:bCs/>
          <w:iCs/>
        </w:rPr>
        <w:t>a.</w:t>
      </w:r>
    </w:p>
    <w:p w:rsidR="00DC3030" w:rsidRDefault="00956DC9" w:rsidP="00DD07C9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154501">
        <w:rPr>
          <w:bCs/>
          <w:iCs/>
        </w:rPr>
        <w:t>Iskazani m</w:t>
      </w:r>
      <w:r w:rsidR="00E138A3" w:rsidRPr="00154501">
        <w:rPr>
          <w:bCs/>
          <w:iCs/>
        </w:rPr>
        <w:t>anjak prih</w:t>
      </w:r>
      <w:r w:rsidR="00DD07C9" w:rsidRPr="00154501">
        <w:rPr>
          <w:bCs/>
          <w:iCs/>
        </w:rPr>
        <w:t>oda i primitaka za pokriće u sl</w:t>
      </w:r>
      <w:r w:rsidR="00E138A3" w:rsidRPr="00154501">
        <w:rPr>
          <w:bCs/>
          <w:iCs/>
        </w:rPr>
        <w:t>jedećem razdoblju rezultat je djelomične sanacije poslovanja 2013. godine (dospjele obveza na dan 31.12.2013. godine) kao i iskazanog manjka prihoda i primitaka za 2014. godinu, viška prihoda u iznosu od 3.481.905,00 kuna za 2015. godinu</w:t>
      </w:r>
      <w:r w:rsidR="003D57ED" w:rsidRPr="00154501">
        <w:rPr>
          <w:bCs/>
          <w:iCs/>
        </w:rPr>
        <w:t xml:space="preserve">, </w:t>
      </w:r>
      <w:r w:rsidR="00E138A3" w:rsidRPr="00154501">
        <w:rPr>
          <w:bCs/>
          <w:iCs/>
        </w:rPr>
        <w:t>manjka poslovanja</w:t>
      </w:r>
      <w:r w:rsidR="003D57ED" w:rsidRPr="00154501">
        <w:rPr>
          <w:bCs/>
          <w:iCs/>
        </w:rPr>
        <w:t xml:space="preserve"> za 2016. godinu</w:t>
      </w:r>
      <w:r w:rsidR="00E138A3" w:rsidRPr="00154501">
        <w:rPr>
          <w:bCs/>
          <w:iCs/>
        </w:rPr>
        <w:t xml:space="preserve"> u iznosu od 16.635.933,00 kune</w:t>
      </w:r>
      <w:r w:rsidR="00364442" w:rsidRPr="00154501">
        <w:rPr>
          <w:bCs/>
          <w:iCs/>
        </w:rPr>
        <w:t xml:space="preserve">, </w:t>
      </w:r>
      <w:r w:rsidR="003D57ED" w:rsidRPr="00154501">
        <w:rPr>
          <w:bCs/>
          <w:iCs/>
        </w:rPr>
        <w:t>viška prihoda nad rashodima za 2017. godinu u iznosu od 2.131.344,00 kune</w:t>
      </w:r>
      <w:r w:rsidR="00364442" w:rsidRPr="00154501">
        <w:rPr>
          <w:bCs/>
          <w:iCs/>
        </w:rPr>
        <w:t>, viška prihoda nad rashodima za 2018. godinu u iznosu od 966.862,00 kune</w:t>
      </w:r>
      <w:r w:rsidR="00DC3030">
        <w:rPr>
          <w:bCs/>
          <w:iCs/>
        </w:rPr>
        <w:t xml:space="preserve">, </w:t>
      </w:r>
      <w:r w:rsidR="0094458C" w:rsidRPr="00154501">
        <w:rPr>
          <w:bCs/>
          <w:iCs/>
        </w:rPr>
        <w:t>viška prihoda nad rashodima za 2019. godin</w:t>
      </w:r>
      <w:r w:rsidR="00DC3030">
        <w:rPr>
          <w:bCs/>
          <w:iCs/>
        </w:rPr>
        <w:t xml:space="preserve">u u iznosu od 2.370.418,00 kuna, te manjka prihoda za 2020. godinu u iznosu od </w:t>
      </w:r>
      <w:r w:rsidR="00DC3030" w:rsidRPr="00DC3030">
        <w:rPr>
          <w:bCs/>
          <w:iCs/>
        </w:rPr>
        <w:t>40.121.945,00 kuna</w:t>
      </w:r>
      <w:r w:rsidR="00DC3030">
        <w:rPr>
          <w:bCs/>
          <w:iCs/>
        </w:rPr>
        <w:t>.</w:t>
      </w:r>
    </w:p>
    <w:p w:rsidR="00364442" w:rsidRPr="00154501" w:rsidRDefault="005E211B" w:rsidP="00DD07C9">
      <w:pPr>
        <w:tabs>
          <w:tab w:val="decimal" w:pos="7371"/>
          <w:tab w:val="decimal" w:pos="8789"/>
        </w:tabs>
        <w:spacing w:after="0"/>
        <w:rPr>
          <w:bCs/>
          <w:iCs/>
        </w:rPr>
      </w:pPr>
      <w:r w:rsidRPr="00154501">
        <w:rPr>
          <w:bCs/>
          <w:iCs/>
        </w:rPr>
        <w:t xml:space="preserve">Ukupni preneseni manjak u iznosu od </w:t>
      </w:r>
      <w:r w:rsidR="00EF1090" w:rsidRPr="00EF1090">
        <w:rPr>
          <w:bCs/>
          <w:iCs/>
        </w:rPr>
        <w:t>111.968.672</w:t>
      </w:r>
      <w:r w:rsidR="003D57ED" w:rsidRPr="00154501">
        <w:rPr>
          <w:bCs/>
          <w:iCs/>
        </w:rPr>
        <w:t xml:space="preserve">,00 kuna pokrit će se sukladno </w:t>
      </w:r>
      <w:r w:rsidR="00364442" w:rsidRPr="00154501">
        <w:rPr>
          <w:bCs/>
          <w:iCs/>
        </w:rPr>
        <w:t>Akcijskom</w:t>
      </w:r>
      <w:r w:rsidR="003D57ED" w:rsidRPr="00154501">
        <w:rPr>
          <w:bCs/>
          <w:iCs/>
        </w:rPr>
        <w:t xml:space="preserve"> plan</w:t>
      </w:r>
      <w:r w:rsidR="00364442" w:rsidRPr="00154501">
        <w:rPr>
          <w:bCs/>
          <w:iCs/>
        </w:rPr>
        <w:t>u</w:t>
      </w:r>
      <w:r w:rsidR="003D57ED" w:rsidRPr="00154501">
        <w:rPr>
          <w:bCs/>
          <w:iCs/>
        </w:rPr>
        <w:t xml:space="preserve"> pokrića sukcesivnog ma</w:t>
      </w:r>
      <w:r w:rsidR="00EF1090">
        <w:rPr>
          <w:bCs/>
          <w:iCs/>
        </w:rPr>
        <w:t>njka u financijskom poslovanju, koji će se donijeti po provedenim prvim izmjenama i dopunama financijskog plana za 2021. godinu, a sve sukladno Uputama Ministarstva financija KLASA: 400-04/17-02/14, URBROJ: 513-05-01/17-2 od 13. listopada 2017. godine.</w:t>
      </w:r>
    </w:p>
    <w:p w:rsidR="00D379C4" w:rsidRDefault="003D57ED" w:rsidP="003D57ED">
      <w:pPr>
        <w:spacing w:after="0"/>
        <w:rPr>
          <w:bCs/>
          <w:iCs/>
        </w:rPr>
      </w:pPr>
      <w:r w:rsidRPr="00154501">
        <w:rPr>
          <w:bCs/>
          <w:iCs/>
        </w:rPr>
        <w:t xml:space="preserve">Planirani </w:t>
      </w:r>
      <w:r w:rsidR="00EF1090">
        <w:rPr>
          <w:bCs/>
          <w:iCs/>
        </w:rPr>
        <w:t>manjak</w:t>
      </w:r>
      <w:r w:rsidRPr="00154501">
        <w:rPr>
          <w:bCs/>
          <w:iCs/>
        </w:rPr>
        <w:t xml:space="preserve"> prihoda za pokriće iskazanog manjka se namjerava ostvariti u najvećoj mjeri najavljenim izmjenama Ugovaranja od strane HZZO - a, te pove</w:t>
      </w:r>
      <w:r w:rsidR="00E33F1D">
        <w:rPr>
          <w:bCs/>
          <w:iCs/>
        </w:rPr>
        <w:t>ćanjem ovih prihoda tj. plaćanju</w:t>
      </w:r>
      <w:r w:rsidRPr="00154501">
        <w:rPr>
          <w:bCs/>
          <w:iCs/>
        </w:rPr>
        <w:t xml:space="preserve"> po izvršenju </w:t>
      </w:r>
      <w:r w:rsidR="005E211B" w:rsidRPr="00154501">
        <w:rPr>
          <w:bCs/>
          <w:iCs/>
        </w:rPr>
        <w:t>/ fakturi uz neophodnu korekciju cijena DTS-a i</w:t>
      </w:r>
      <w:r w:rsidR="00EF1090">
        <w:rPr>
          <w:bCs/>
          <w:iCs/>
        </w:rPr>
        <w:t xml:space="preserve"> DTP-a koje bi trebale uvažiti</w:t>
      </w:r>
      <w:r w:rsidRPr="00154501">
        <w:rPr>
          <w:bCs/>
          <w:iCs/>
        </w:rPr>
        <w:t>:</w:t>
      </w:r>
      <w:r w:rsidR="00EF1090">
        <w:rPr>
          <w:bCs/>
          <w:iCs/>
        </w:rPr>
        <w:t xml:space="preserve"> trenutnu situaciju vezanu za COVID pandemiju, </w:t>
      </w:r>
      <w:r w:rsidR="00E33F1D">
        <w:rPr>
          <w:bCs/>
          <w:iCs/>
        </w:rPr>
        <w:t>izmjene</w:t>
      </w:r>
      <w:r w:rsidRPr="00154501">
        <w:rPr>
          <w:bCs/>
          <w:iCs/>
        </w:rPr>
        <w:t xml:space="preserve"> u fiskalnoj politici države (zakon o PDV-u), </w:t>
      </w:r>
      <w:r w:rsidR="00E33F1D">
        <w:rPr>
          <w:bCs/>
          <w:iCs/>
        </w:rPr>
        <w:t>izmjene</w:t>
      </w:r>
      <w:r w:rsidRPr="00154501">
        <w:rPr>
          <w:bCs/>
          <w:iCs/>
        </w:rPr>
        <w:t xml:space="preserve"> n</w:t>
      </w:r>
      <w:r w:rsidR="00E33F1D">
        <w:rPr>
          <w:bCs/>
          <w:iCs/>
        </w:rPr>
        <w:t>a tržištu roba i usluga, izmjene</w:t>
      </w:r>
      <w:r w:rsidRPr="00154501">
        <w:rPr>
          <w:bCs/>
          <w:iCs/>
        </w:rPr>
        <w:t xml:space="preserve"> cijena rada uslijed izmjena Zakona </w:t>
      </w:r>
      <w:r w:rsidRPr="00154501">
        <w:rPr>
          <w:bCs/>
          <w:iCs/>
        </w:rPr>
        <w:lastRenderedPageBreak/>
        <w:t>o radu i kolektivnih ugovora,</w:t>
      </w:r>
      <w:r w:rsidR="00EF1090">
        <w:rPr>
          <w:bCs/>
          <w:iCs/>
        </w:rPr>
        <w:t xml:space="preserve"> uputa Ministarstva zdravstva o načinima obračuna plaća,</w:t>
      </w:r>
      <w:r w:rsidRPr="00154501">
        <w:rPr>
          <w:bCs/>
          <w:iCs/>
        </w:rPr>
        <w:t xml:space="preserve"> ostalih zakonskih propisa i pravilnika (zaštite na radu, pravilnika o specijalističkom usavršavanju, pravilniku o minimalnim uvjetima za obavljanje djelatnosti i slično). </w:t>
      </w:r>
      <w:r w:rsidR="00EF1090">
        <w:rPr>
          <w:bCs/>
          <w:iCs/>
        </w:rPr>
        <w:t xml:space="preserve">Svim navedenim mjerama trebala bi prethoditi </w:t>
      </w:r>
      <w:r w:rsidR="00EF1090" w:rsidRPr="006F3C09">
        <w:rPr>
          <w:bCs/>
          <w:iCs/>
          <w:u w:val="single"/>
        </w:rPr>
        <w:t xml:space="preserve">jednokratna mjera </w:t>
      </w:r>
      <w:r w:rsidR="00D379C4" w:rsidRPr="006F3C09">
        <w:rPr>
          <w:bCs/>
          <w:iCs/>
          <w:u w:val="single"/>
        </w:rPr>
        <w:t xml:space="preserve">pomoći </w:t>
      </w:r>
      <w:r w:rsidR="00EF1090">
        <w:rPr>
          <w:bCs/>
          <w:iCs/>
        </w:rPr>
        <w:t xml:space="preserve">kojom bi se sanirali </w:t>
      </w:r>
      <w:r w:rsidR="00D379C4">
        <w:rPr>
          <w:bCs/>
          <w:iCs/>
        </w:rPr>
        <w:t xml:space="preserve">dugovi proizašli iz Odluka </w:t>
      </w:r>
      <w:r w:rsidR="00655C1D">
        <w:rPr>
          <w:bCs/>
          <w:iCs/>
        </w:rPr>
        <w:t>N</w:t>
      </w:r>
      <w:r w:rsidR="00D379C4">
        <w:rPr>
          <w:bCs/>
          <w:iCs/>
        </w:rPr>
        <w:t>acionalnog stožera civilne zaštite i resornog ministarstva, a vezano za pružanje zdravstvene zaštite pacijentima oboljelim</w:t>
      </w:r>
      <w:r w:rsidR="00655C1D">
        <w:rPr>
          <w:bCs/>
          <w:iCs/>
        </w:rPr>
        <w:t>a</w:t>
      </w:r>
      <w:r w:rsidR="00D379C4">
        <w:rPr>
          <w:bCs/>
          <w:iCs/>
        </w:rPr>
        <w:t xml:space="preserve"> od </w:t>
      </w:r>
      <w:r w:rsidR="00D379C4" w:rsidRPr="00D379C4">
        <w:rPr>
          <w:bCs/>
          <w:iCs/>
        </w:rPr>
        <w:t>virusa SARS-CoV-2</w:t>
      </w:r>
      <w:r w:rsidR="00D379C4">
        <w:rPr>
          <w:bCs/>
          <w:iCs/>
        </w:rPr>
        <w:t xml:space="preserve"> i s tim u vezi smanjenog obujma rada i povećanih rashoda poslovanja.</w:t>
      </w:r>
    </w:p>
    <w:p w:rsidR="003D57ED" w:rsidRPr="00154501" w:rsidRDefault="003D57ED" w:rsidP="003D57ED">
      <w:pPr>
        <w:spacing w:after="0"/>
        <w:rPr>
          <w:bCs/>
          <w:iCs/>
        </w:rPr>
      </w:pPr>
      <w:r w:rsidRPr="00154501">
        <w:rPr>
          <w:bCs/>
          <w:iCs/>
        </w:rPr>
        <w:t xml:space="preserve">Uz </w:t>
      </w:r>
      <w:r w:rsidR="00E33F1D">
        <w:rPr>
          <w:bCs/>
          <w:iCs/>
        </w:rPr>
        <w:t xml:space="preserve">sve </w:t>
      </w:r>
      <w:r w:rsidRPr="00154501">
        <w:rPr>
          <w:bCs/>
          <w:iCs/>
        </w:rPr>
        <w:t>navedeno Bolnica i dalje namjerava provoditi aktivnosti i mjere usmjerene ka otklanjanju nastanka negativnog poslovanja</w:t>
      </w:r>
      <w:r w:rsidR="00E33F1D">
        <w:rPr>
          <w:bCs/>
          <w:iCs/>
        </w:rPr>
        <w:t>, a</w:t>
      </w:r>
      <w:r w:rsidRPr="00154501">
        <w:rPr>
          <w:bCs/>
          <w:iCs/>
        </w:rPr>
        <w:t xml:space="preserve"> sve sukladno mjerama Akcijskog plana pokrića sukcesivnog manjka u financijskom poslovanju.</w:t>
      </w:r>
    </w:p>
    <w:p w:rsidR="00E33F1D" w:rsidRDefault="00E33F1D" w:rsidP="003D57ED">
      <w:pPr>
        <w:spacing w:after="0"/>
        <w:rPr>
          <w:bCs/>
          <w:iCs/>
        </w:rPr>
      </w:pPr>
    </w:p>
    <w:p w:rsidR="003D57ED" w:rsidRDefault="00C35D9A" w:rsidP="003D57ED">
      <w:pPr>
        <w:spacing w:after="0"/>
        <w:rPr>
          <w:bCs/>
          <w:iCs/>
        </w:rPr>
      </w:pPr>
      <w:r>
        <w:rPr>
          <w:bCs/>
          <w:iCs/>
        </w:rPr>
        <w:t>Sukladno</w:t>
      </w:r>
      <w:r w:rsidR="00D379C4" w:rsidRPr="00D379C4">
        <w:rPr>
          <w:bCs/>
          <w:iCs/>
        </w:rPr>
        <w:t xml:space="preserve"> Zakonu o zdravstvenoj</w:t>
      </w:r>
      <w:r w:rsidR="00D379C4">
        <w:rPr>
          <w:bCs/>
          <w:iCs/>
        </w:rPr>
        <w:t xml:space="preserve"> zaštiti,</w:t>
      </w:r>
      <w:r w:rsidR="003D57ED" w:rsidRPr="00154501">
        <w:rPr>
          <w:bCs/>
          <w:iCs/>
        </w:rPr>
        <w:t xml:space="preserve"> </w:t>
      </w:r>
      <w:r w:rsidR="00D379C4">
        <w:rPr>
          <w:bCs/>
          <w:iCs/>
        </w:rPr>
        <w:t xml:space="preserve">jasno je da je zadatak zdravstvenih ustanova pružati kvalitetnu i dostupnu zdravstvenu zaštitu svim potrebitim pacijentima i da su se zdravstvene ustanove morale prilagoditi svim </w:t>
      </w:r>
      <w:r w:rsidR="00E33F1D">
        <w:rPr>
          <w:bCs/>
          <w:iCs/>
        </w:rPr>
        <w:t xml:space="preserve">svojim </w:t>
      </w:r>
      <w:r w:rsidR="00D379C4">
        <w:rPr>
          <w:bCs/>
          <w:iCs/>
        </w:rPr>
        <w:t>kapacitetima</w:t>
      </w:r>
      <w:r>
        <w:rPr>
          <w:bCs/>
          <w:iCs/>
        </w:rPr>
        <w:t xml:space="preserve"> (kadrovski</w:t>
      </w:r>
      <w:r w:rsidR="006F3C09">
        <w:rPr>
          <w:bCs/>
          <w:iCs/>
        </w:rPr>
        <w:t>m, opremom</w:t>
      </w:r>
      <w:r>
        <w:rPr>
          <w:bCs/>
          <w:iCs/>
        </w:rPr>
        <w:t>, prostorno i</w:t>
      </w:r>
      <w:r w:rsidR="00655C1D">
        <w:rPr>
          <w:bCs/>
          <w:iCs/>
        </w:rPr>
        <w:t xml:space="preserve"> </w:t>
      </w:r>
      <w:r>
        <w:rPr>
          <w:bCs/>
          <w:iCs/>
        </w:rPr>
        <w:t>sl.)</w:t>
      </w:r>
      <w:r w:rsidR="00D379C4">
        <w:rPr>
          <w:bCs/>
          <w:iCs/>
        </w:rPr>
        <w:t xml:space="preserve"> novonastaloj situaciji uzrokovanoj prisustvom </w:t>
      </w:r>
      <w:r w:rsidR="00D379C4" w:rsidRPr="00D379C4">
        <w:rPr>
          <w:bCs/>
          <w:iCs/>
        </w:rPr>
        <w:t>SARS-CoV-2</w:t>
      </w:r>
      <w:r w:rsidR="00D379C4">
        <w:rPr>
          <w:bCs/>
          <w:iCs/>
        </w:rPr>
        <w:t xml:space="preserve"> virusa na način da pruže najbolju mog</w:t>
      </w:r>
      <w:r>
        <w:rPr>
          <w:bCs/>
          <w:iCs/>
        </w:rPr>
        <w:t xml:space="preserve">uću skrb oboljelim pacijentima. Sve navedeno </w:t>
      </w:r>
      <w:r w:rsidR="00E33F1D">
        <w:rPr>
          <w:bCs/>
          <w:iCs/>
        </w:rPr>
        <w:t xml:space="preserve">dovelo </w:t>
      </w:r>
      <w:r>
        <w:rPr>
          <w:bCs/>
          <w:iCs/>
        </w:rPr>
        <w:t>je</w:t>
      </w:r>
      <w:r w:rsidR="00E33F1D">
        <w:rPr>
          <w:bCs/>
          <w:iCs/>
        </w:rPr>
        <w:t xml:space="preserve"> do</w:t>
      </w:r>
      <w:r>
        <w:rPr>
          <w:bCs/>
          <w:iCs/>
        </w:rPr>
        <w:t xml:space="preserve"> </w:t>
      </w:r>
      <w:r w:rsidR="00E33F1D">
        <w:rPr>
          <w:bCs/>
          <w:iCs/>
        </w:rPr>
        <w:t>značajnog</w:t>
      </w:r>
      <w:r>
        <w:rPr>
          <w:bCs/>
          <w:iCs/>
        </w:rPr>
        <w:t xml:space="preserve"> poremećaj</w:t>
      </w:r>
      <w:r w:rsidR="00E33F1D">
        <w:rPr>
          <w:bCs/>
          <w:iCs/>
        </w:rPr>
        <w:t>a</w:t>
      </w:r>
      <w:r>
        <w:rPr>
          <w:bCs/>
          <w:iCs/>
        </w:rPr>
        <w:t xml:space="preserve"> u financijskom poslovanju</w:t>
      </w:r>
      <w:r w:rsidR="00E33F1D">
        <w:rPr>
          <w:bCs/>
          <w:iCs/>
        </w:rPr>
        <w:t xml:space="preserve"> i tekuće likvidnosti</w:t>
      </w:r>
      <w:r>
        <w:rPr>
          <w:bCs/>
          <w:iCs/>
        </w:rPr>
        <w:t xml:space="preserve"> koje nije bilo moguće sanirati većim radom jer je on bio onemogućen. </w:t>
      </w:r>
      <w:r w:rsidR="00E33F1D">
        <w:rPr>
          <w:bCs/>
          <w:iCs/>
        </w:rPr>
        <w:t>Povrh svega</w:t>
      </w:r>
      <w:r>
        <w:rPr>
          <w:bCs/>
          <w:iCs/>
        </w:rPr>
        <w:t xml:space="preserve"> zdravstvene ustanove obvezne su poštovati sve izmjene u radničkim pravima, pravima pacijenata, izmjena pravilnika, uputa i slično koje su </w:t>
      </w:r>
      <w:r w:rsidR="00E33F1D">
        <w:rPr>
          <w:bCs/>
          <w:iCs/>
        </w:rPr>
        <w:t>rezultirali</w:t>
      </w:r>
      <w:r>
        <w:rPr>
          <w:bCs/>
          <w:iCs/>
        </w:rPr>
        <w:t xml:space="preserve"> p</w:t>
      </w:r>
      <w:r w:rsidR="00E33F1D">
        <w:rPr>
          <w:bCs/>
          <w:iCs/>
        </w:rPr>
        <w:t xml:space="preserve">ovećanja na rashodovnoj strani. </w:t>
      </w:r>
      <w:r>
        <w:rPr>
          <w:bCs/>
          <w:iCs/>
        </w:rPr>
        <w:t>Također</w:t>
      </w:r>
      <w:r w:rsidR="00E33F1D">
        <w:rPr>
          <w:bCs/>
          <w:iCs/>
        </w:rPr>
        <w:t>, jasno je</w:t>
      </w:r>
      <w:r w:rsidR="003D57ED" w:rsidRPr="00154501">
        <w:rPr>
          <w:bCs/>
          <w:iCs/>
        </w:rPr>
        <w:t xml:space="preserve"> da su sredstva za zdravstvo limitirana i da zdravstvo mora participirati u općim mjerama racionalizacije i stabilizacije, međutim</w:t>
      </w:r>
      <w:r w:rsidR="00E33F1D">
        <w:rPr>
          <w:bCs/>
          <w:iCs/>
        </w:rPr>
        <w:t>,</w:t>
      </w:r>
      <w:r w:rsidR="003D57ED" w:rsidRPr="00154501">
        <w:rPr>
          <w:bCs/>
          <w:iCs/>
        </w:rPr>
        <w:t xml:space="preserve"> ne može se od bolničkih ustanova očekivati da uspješno posluju ukoliko stvarno izvršeni rad nije odg</w:t>
      </w:r>
      <w:r>
        <w:rPr>
          <w:bCs/>
          <w:iCs/>
        </w:rPr>
        <w:t xml:space="preserve">ovarajuće vrednovan niti plaćen, a rad i ulaganja proizašli iz više sile i odlukama na koje menadžment </w:t>
      </w:r>
      <w:r w:rsidR="00655C1D">
        <w:rPr>
          <w:bCs/>
          <w:iCs/>
        </w:rPr>
        <w:t>U</w:t>
      </w:r>
      <w:r>
        <w:rPr>
          <w:bCs/>
          <w:iCs/>
        </w:rPr>
        <w:t>stanov</w:t>
      </w:r>
      <w:r w:rsidR="00655C1D">
        <w:rPr>
          <w:bCs/>
          <w:iCs/>
        </w:rPr>
        <w:t>e</w:t>
      </w:r>
      <w:r w:rsidR="00E33F1D">
        <w:rPr>
          <w:bCs/>
          <w:iCs/>
        </w:rPr>
        <w:t>,</w:t>
      </w:r>
      <w:r>
        <w:rPr>
          <w:bCs/>
          <w:iCs/>
        </w:rPr>
        <w:t xml:space="preserve"> nije imao ili je imao jako mali utjecaj</w:t>
      </w:r>
      <w:r w:rsidR="00E33F1D">
        <w:rPr>
          <w:bCs/>
          <w:iCs/>
        </w:rPr>
        <w:t>,</w:t>
      </w:r>
      <w:r>
        <w:rPr>
          <w:bCs/>
          <w:iCs/>
        </w:rPr>
        <w:t xml:space="preserve"> </w:t>
      </w:r>
      <w:r w:rsidR="00E33F1D">
        <w:rPr>
          <w:bCs/>
          <w:iCs/>
        </w:rPr>
        <w:t xml:space="preserve">nije adekvatno subvencioniran. </w:t>
      </w:r>
      <w:r>
        <w:rPr>
          <w:bCs/>
          <w:iCs/>
        </w:rPr>
        <w:t>Opetovano ponavljamo kako p</w:t>
      </w:r>
      <w:r w:rsidR="003D57ED" w:rsidRPr="00154501">
        <w:rPr>
          <w:bCs/>
          <w:iCs/>
        </w:rPr>
        <w:t>laćanje bolnicama temeljem fakturirane realizacije</w:t>
      </w:r>
      <w:r w:rsidR="00655C1D">
        <w:rPr>
          <w:bCs/>
          <w:iCs/>
        </w:rPr>
        <w:t>,</w:t>
      </w:r>
      <w:r w:rsidR="003D57ED" w:rsidRPr="00154501">
        <w:rPr>
          <w:bCs/>
          <w:iCs/>
        </w:rPr>
        <w:t xml:space="preserve"> odnosno ostvarenog programa rada </w:t>
      </w:r>
      <w:r w:rsidR="00655C1D">
        <w:rPr>
          <w:bCs/>
          <w:iCs/>
        </w:rPr>
        <w:t xml:space="preserve">bi </w:t>
      </w:r>
      <w:r w:rsidR="00E33F1D">
        <w:rPr>
          <w:bCs/>
          <w:iCs/>
        </w:rPr>
        <w:t>trebao</w:t>
      </w:r>
      <w:r w:rsidR="003D57ED" w:rsidRPr="00154501">
        <w:rPr>
          <w:bCs/>
          <w:iCs/>
        </w:rPr>
        <w:t xml:space="preserve"> dovesti do restrukturiranja, uravnoteženosti tekućih prihoda i rashoda, </w:t>
      </w:r>
      <w:r w:rsidR="00655C1D">
        <w:rPr>
          <w:bCs/>
          <w:iCs/>
        </w:rPr>
        <w:t xml:space="preserve">pa </w:t>
      </w:r>
      <w:r w:rsidR="003D57ED" w:rsidRPr="00154501">
        <w:rPr>
          <w:bCs/>
          <w:iCs/>
        </w:rPr>
        <w:t>bi se</w:t>
      </w:r>
      <w:r w:rsidR="00655C1D">
        <w:rPr>
          <w:bCs/>
          <w:iCs/>
        </w:rPr>
        <w:t xml:space="preserve"> jedino tada</w:t>
      </w:r>
      <w:r w:rsidR="003D57ED" w:rsidRPr="00154501">
        <w:rPr>
          <w:bCs/>
          <w:iCs/>
        </w:rPr>
        <w:t xml:space="preserve"> u slučaju OB Zadar</w:t>
      </w:r>
      <w:r w:rsidR="00D379C4">
        <w:rPr>
          <w:bCs/>
          <w:iCs/>
        </w:rPr>
        <w:t xml:space="preserve"> </w:t>
      </w:r>
      <w:r w:rsidR="00D379C4" w:rsidRPr="00D379C4">
        <w:rPr>
          <w:bCs/>
          <w:i/>
          <w:iCs/>
        </w:rPr>
        <w:t>(nakon sanacije rashoda proizašlih iz pandemije SARS-CoV-2</w:t>
      </w:r>
      <w:r>
        <w:rPr>
          <w:bCs/>
          <w:i/>
          <w:iCs/>
        </w:rPr>
        <w:t xml:space="preserve"> i dodatnim Odlukama koje imaju utjecaj na rashodovnu stranu</w:t>
      </w:r>
      <w:r w:rsidR="00D379C4" w:rsidRPr="00D379C4">
        <w:rPr>
          <w:bCs/>
          <w:i/>
          <w:iCs/>
        </w:rPr>
        <w:t>)</w:t>
      </w:r>
      <w:r w:rsidR="00D379C4">
        <w:rPr>
          <w:bCs/>
          <w:iCs/>
        </w:rPr>
        <w:t xml:space="preserve"> </w:t>
      </w:r>
      <w:r w:rsidR="003D57ED" w:rsidRPr="00154501">
        <w:rPr>
          <w:bCs/>
          <w:iCs/>
        </w:rPr>
        <w:t>osigurao višak sredstava za pokriće manjka iz proteklih godina u periodu od tri godine.</w:t>
      </w:r>
    </w:p>
    <w:p w:rsidR="003D57ED" w:rsidRDefault="003D57ED" w:rsidP="00E138A3">
      <w:pPr>
        <w:spacing w:after="0"/>
        <w:rPr>
          <w:bCs/>
          <w:iCs/>
        </w:rPr>
      </w:pPr>
    </w:p>
    <w:p w:rsidR="00E138A3" w:rsidRDefault="008E2047" w:rsidP="00E138A3">
      <w:pPr>
        <w:spacing w:after="0"/>
      </w:pPr>
      <w:r>
        <w:t>U Zadru, 31.01.20</w:t>
      </w:r>
      <w:r w:rsidR="005C5EF7">
        <w:t>2</w:t>
      </w:r>
      <w:r w:rsidR="00B8264E">
        <w:t>1</w:t>
      </w:r>
      <w:r w:rsidR="00E138A3" w:rsidRPr="00E138A3">
        <w:t>.</w:t>
      </w:r>
    </w:p>
    <w:p w:rsidR="00E33F1D" w:rsidRDefault="00E33F1D" w:rsidP="00E138A3">
      <w:pPr>
        <w:spacing w:after="0"/>
      </w:pPr>
    </w:p>
    <w:p w:rsidR="00435257" w:rsidRDefault="00435257" w:rsidP="00E138A3">
      <w:pPr>
        <w:spacing w:after="0"/>
      </w:pPr>
    </w:p>
    <w:p w:rsidR="00E33F1D" w:rsidRDefault="00041C6E" w:rsidP="00E138A3">
      <w:pPr>
        <w:spacing w:after="0"/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left:0;text-align:left;margin-left:265.4pt;margin-top:13.05pt;width:245.35pt;height:97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" strokecolor="white [3212]">
            <v:textbox>
              <w:txbxContent>
                <w:p w:rsidR="00435257" w:rsidRDefault="00435257" w:rsidP="00435257">
                  <w:pPr>
                    <w:spacing w:after="0"/>
                    <w:jc w:val="center"/>
                    <w:rPr>
                      <w:u w:val="single"/>
                    </w:rPr>
                  </w:pPr>
                </w:p>
                <w:p w:rsidR="00435257" w:rsidRPr="00916528" w:rsidRDefault="00435257" w:rsidP="00435257">
                  <w:pPr>
                    <w:spacing w:after="0"/>
                    <w:jc w:val="center"/>
                  </w:pPr>
                </w:p>
                <w:p w:rsidR="00435257" w:rsidRPr="00916528" w:rsidRDefault="00435257" w:rsidP="00435257">
                  <w:pPr>
                    <w:spacing w:after="0"/>
                    <w:jc w:val="center"/>
                  </w:pPr>
                  <w:r>
                    <w:t>____________________________</w:t>
                  </w:r>
                </w:p>
                <w:p w:rsidR="00A32058" w:rsidRPr="00A32058" w:rsidRDefault="00A32058" w:rsidP="00A32058">
                  <w:pPr>
                    <w:spacing w:after="0"/>
                    <w:jc w:val="center"/>
                  </w:pPr>
                  <w:r w:rsidRPr="00A32058">
                    <w:t>Pomoćnik ravnatelja za financijsko poslovanje</w:t>
                  </w:r>
                </w:p>
                <w:p w:rsidR="00435257" w:rsidRPr="00916528" w:rsidRDefault="00A32058" w:rsidP="00435257">
                  <w:pPr>
                    <w:spacing w:after="0"/>
                    <w:jc w:val="center"/>
                  </w:pPr>
                  <w:r>
                    <w:t>Boško Katić struč.spec.oec.</w:t>
                  </w:r>
                  <w:r w:rsidR="00435257">
                    <w:t>.</w:t>
                  </w:r>
                </w:p>
              </w:txbxContent>
            </v:textbox>
          </v:shape>
        </w:pict>
      </w:r>
    </w:p>
    <w:p w:rsidR="00E33F1D" w:rsidRDefault="00E33F1D" w:rsidP="00E138A3">
      <w:pPr>
        <w:spacing w:after="0"/>
      </w:pPr>
    </w:p>
    <w:p w:rsidR="00E33F1D" w:rsidRDefault="00E33F1D" w:rsidP="00E138A3">
      <w:pPr>
        <w:spacing w:after="0"/>
      </w:pPr>
    </w:p>
    <w:p w:rsidR="00E33F1D" w:rsidRDefault="00E33F1D" w:rsidP="00E138A3">
      <w:pPr>
        <w:spacing w:after="0"/>
      </w:pPr>
    </w:p>
    <w:p w:rsidR="00E33F1D" w:rsidRPr="00E138A3" w:rsidRDefault="00E33F1D" w:rsidP="00E138A3">
      <w:pPr>
        <w:spacing w:after="0"/>
      </w:pPr>
    </w:p>
    <w:p w:rsidR="00E33F1D" w:rsidRDefault="00E33F1D" w:rsidP="00E138A3"/>
    <w:p w:rsidR="00435257" w:rsidRDefault="00435257" w:rsidP="00E138A3"/>
    <w:p w:rsidR="00435257" w:rsidRDefault="00435257" w:rsidP="00E138A3"/>
    <w:p w:rsidR="00A32058" w:rsidRDefault="00A32058" w:rsidP="00E138A3"/>
    <w:p w:rsidR="00A32058" w:rsidRDefault="00A32058" w:rsidP="00E138A3"/>
    <w:p w:rsidR="00916528" w:rsidRPr="00E138A3" w:rsidRDefault="00041C6E" w:rsidP="00E138A3">
      <w:r>
        <w:rPr>
          <w:noProof/>
          <w:lang w:eastAsia="hr-HR"/>
        </w:rPr>
        <w:pict>
          <v:shape id="_x0000_s1027" type="#_x0000_t202" style="position:absolute;left:0;text-align:left;margin-left:288.5pt;margin-top:31.8pt;width:186.95pt;height:97.0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" strokecolor="white [3212]">
            <v:textbox>
              <w:txbxContent>
                <w:p w:rsidR="007232FD" w:rsidRDefault="007232FD" w:rsidP="00DD045A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Z</w:t>
                  </w:r>
                  <w:r w:rsidRPr="00916528">
                    <w:rPr>
                      <w:u w:val="single"/>
                    </w:rPr>
                    <w:t>akonski predstavnik</w:t>
                  </w:r>
                  <w:r>
                    <w:rPr>
                      <w:u w:val="single"/>
                    </w:rPr>
                    <w:t>:</w:t>
                  </w:r>
                </w:p>
                <w:p w:rsidR="007232FD" w:rsidRDefault="007232FD" w:rsidP="00DD045A">
                  <w:pPr>
                    <w:spacing w:after="0"/>
                    <w:jc w:val="center"/>
                    <w:rPr>
                      <w:u w:val="single"/>
                    </w:rPr>
                  </w:pPr>
                </w:p>
                <w:p w:rsidR="007232FD" w:rsidRPr="00916528" w:rsidRDefault="007232FD" w:rsidP="00DD045A">
                  <w:pPr>
                    <w:spacing w:after="0"/>
                    <w:jc w:val="center"/>
                  </w:pPr>
                </w:p>
                <w:p w:rsidR="007232FD" w:rsidRPr="00916528" w:rsidRDefault="007232FD" w:rsidP="00DD045A">
                  <w:pPr>
                    <w:spacing w:after="0"/>
                    <w:jc w:val="center"/>
                  </w:pPr>
                  <w:r>
                    <w:t>____________________________</w:t>
                  </w:r>
                </w:p>
                <w:p w:rsidR="007232FD" w:rsidRPr="00916528" w:rsidRDefault="007232FD" w:rsidP="00DD045A">
                  <w:pPr>
                    <w:spacing w:after="0"/>
                    <w:jc w:val="center"/>
                  </w:pPr>
                  <w:r>
                    <w:t>Ravnatelj:</w:t>
                  </w:r>
                </w:p>
                <w:p w:rsidR="007232FD" w:rsidRPr="00916528" w:rsidRDefault="007232FD" w:rsidP="00DD045A">
                  <w:pPr>
                    <w:spacing w:after="0"/>
                    <w:jc w:val="center"/>
                  </w:pPr>
                  <w:r>
                    <w:t>Željko Čulina dr.med.</w:t>
                  </w:r>
                </w:p>
              </w:txbxContent>
            </v:textbox>
          </v:shape>
        </w:pict>
      </w:r>
    </w:p>
    <w:sectPr w:rsidR="00916528" w:rsidRPr="00E138A3" w:rsidSect="00725FAF">
      <w:headerReference w:type="default" r:id="rId51"/>
      <w:footerReference w:type="default" r:id="rId52"/>
      <w:headerReference w:type="first" r:id="rId53"/>
      <w:footerReference w:type="first" r:id="rId5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A8" w:rsidRDefault="007047A8" w:rsidP="00AF6CB3">
      <w:pPr>
        <w:spacing w:after="0" w:line="240" w:lineRule="auto"/>
      </w:pPr>
      <w:r>
        <w:separator/>
      </w:r>
    </w:p>
  </w:endnote>
  <w:endnote w:type="continuationSeparator" w:id="0">
    <w:p w:rsidR="007047A8" w:rsidRDefault="007047A8" w:rsidP="00AF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2358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7232FD" w:rsidRPr="00BB6F92" w:rsidRDefault="00041C6E">
        <w:pPr>
          <w:pStyle w:val="Footer"/>
          <w:rPr>
            <w:sz w:val="18"/>
          </w:rPr>
        </w:pPr>
        <w:r>
          <w:rPr>
            <w:noProof/>
            <w:sz w:val="18"/>
            <w:lang w:eastAsia="hr-HR"/>
          </w:rPr>
          <w:pict>
            <v:rect id="Pravokutnik 650" o:spid="_x0000_s4097" style="position:absolute;left:0;text-align:left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<v:textbox inset=",0,,0">
                <w:txbxContent>
                  <w:p w:rsidR="007232FD" w:rsidRDefault="00041C6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F543F" w:themeColor="accent2"/>
                      </w:rPr>
                    </w:pPr>
                    <w:r w:rsidRPr="00041C6E">
                      <w:fldChar w:fldCharType="begin"/>
                    </w:r>
                    <w:r w:rsidR="007232FD">
                      <w:instrText>PAGE   \* MERGEFORMAT</w:instrText>
                    </w:r>
                    <w:r w:rsidRPr="00041C6E">
                      <w:fldChar w:fldCharType="separate"/>
                    </w:r>
                    <w:r w:rsidR="00AA5CD7" w:rsidRPr="00AA5CD7">
                      <w:rPr>
                        <w:noProof/>
                        <w:color w:val="CF543F" w:themeColor="accent2"/>
                      </w:rPr>
                      <w:t>25</w:t>
                    </w:r>
                    <w:r>
                      <w:rPr>
                        <w:color w:val="CF543F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="007232FD" w:rsidRPr="00BB6F92">
          <w:rPr>
            <w:sz w:val="18"/>
          </w:rPr>
          <w:t>Bilješke uz financijske izvještaje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FD" w:rsidRPr="00887AE2" w:rsidRDefault="007232FD" w:rsidP="00574D5E">
    <w:pPr>
      <w:pStyle w:val="Footer"/>
      <w:tabs>
        <w:tab w:val="clear" w:pos="4536"/>
        <w:tab w:val="left" w:pos="567"/>
      </w:tabs>
      <w:spacing w:after="0"/>
      <w:rPr>
        <w:i/>
        <w:sz w:val="20"/>
      </w:rPr>
    </w:pPr>
    <w:r w:rsidRPr="00887AE2">
      <w:rPr>
        <w:i/>
        <w:sz w:val="20"/>
      </w:rPr>
      <w:t>Dokument izradio: Boško Katić struč.spec.oec.</w:t>
    </w:r>
  </w:p>
  <w:tbl>
    <w:tblPr>
      <w:tblStyle w:val="TableGrid"/>
      <w:tblW w:w="0" w:type="auto"/>
      <w:tblBorders>
        <w:top w:val="single" w:sz="12" w:space="0" w:color="6B7C7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736"/>
    </w:tblGrid>
    <w:tr w:rsidR="007232FD" w:rsidRPr="003F3F8F" w:rsidTr="009B729E">
      <w:trPr>
        <w:trHeight w:val="548"/>
      </w:trPr>
      <w:tc>
        <w:tcPr>
          <w:tcW w:w="9736" w:type="dxa"/>
          <w:vAlign w:val="center"/>
        </w:tcPr>
        <w:p w:rsidR="007232FD" w:rsidRPr="0081657B" w:rsidRDefault="007232FD" w:rsidP="00574D5E">
          <w:pPr>
            <w:pStyle w:val="Footer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81657B">
            <w:rPr>
              <w:rFonts w:ascii="Arial" w:hAnsi="Arial" w:cs="Arial"/>
              <w:color w:val="7F7F7F" w:themeColor="text1" w:themeTint="80"/>
              <w:sz w:val="16"/>
              <w:szCs w:val="16"/>
            </w:rPr>
            <w:t>Opća bolnica Zadar ■ Bože Peričića 5 ■ 23000 Zadar ■</w:t>
          </w:r>
          <w:r w:rsidRPr="0081657B">
            <w:rPr>
              <w:rFonts w:ascii="Arial" w:hAnsi="Arial" w:cs="Arial"/>
              <w:sz w:val="16"/>
              <w:szCs w:val="16"/>
            </w:rPr>
            <w:t xml:space="preserve"> </w:t>
          </w:r>
          <w:r w:rsidRPr="0081657B">
            <w:rPr>
              <w:rFonts w:ascii="Arial" w:hAnsi="Arial" w:cs="Arial"/>
              <w:color w:val="7F7F7F" w:themeColor="text1" w:themeTint="80"/>
              <w:sz w:val="16"/>
              <w:szCs w:val="16"/>
            </w:rPr>
            <w:t>Tel: +385 23 505 505 ■</w:t>
          </w:r>
          <w:r w:rsidRPr="0081657B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Fax: +385 23 312 724</w:t>
          </w:r>
        </w:p>
        <w:p w:rsidR="007232FD" w:rsidRPr="003F3F8F" w:rsidRDefault="007232FD" w:rsidP="00574D5E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81657B">
            <w:rPr>
              <w:rFonts w:ascii="Arial" w:hAnsi="Arial" w:cs="Arial"/>
              <w:color w:val="7F7F7F" w:themeColor="text1" w:themeTint="80"/>
              <w:sz w:val="16"/>
              <w:szCs w:val="16"/>
            </w:rPr>
            <w:t>mail</w:t>
          </w:r>
          <w:r w:rsidRPr="0081657B">
            <w:rPr>
              <w:rFonts w:ascii="Arial" w:hAnsi="Arial" w:cs="Arial"/>
              <w:sz w:val="16"/>
              <w:szCs w:val="16"/>
            </w:rPr>
            <w:t xml:space="preserve">: </w:t>
          </w:r>
          <w:hyperlink r:id="rId1" w:history="1">
            <w:r w:rsidRPr="0081657B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pisarnica@bolnica-zadar.hr</w:t>
            </w:r>
          </w:hyperlink>
          <w:r w:rsidRPr="0081657B"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 ■ IBAN: </w:t>
          </w:r>
          <w:r w:rsidRPr="00FC54B8">
            <w:rPr>
              <w:rFonts w:ascii="Arial" w:hAnsi="Arial" w:cs="Arial"/>
              <w:color w:val="7F7F7F" w:themeColor="text1" w:themeTint="80"/>
              <w:sz w:val="16"/>
              <w:szCs w:val="16"/>
            </w:rPr>
            <w:t>HR5924020061100879223</w:t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 xml:space="preserve"> </w:t>
          </w:r>
          <w:r w:rsidRPr="0081657B">
            <w:rPr>
              <w:rFonts w:ascii="Arial" w:hAnsi="Arial" w:cs="Arial"/>
              <w:color w:val="7F7F7F" w:themeColor="text1" w:themeTint="80"/>
              <w:sz w:val="16"/>
              <w:szCs w:val="16"/>
            </w:rPr>
            <w:t>■</w:t>
          </w:r>
          <w:r w:rsidRPr="0081657B">
            <w:rPr>
              <w:rFonts w:ascii="Arial" w:hAnsi="Arial" w:cs="Arial"/>
              <w:sz w:val="16"/>
              <w:szCs w:val="16"/>
            </w:rPr>
            <w:t xml:space="preserve"> </w:t>
          </w:r>
          <w:r w:rsidRPr="0081657B">
            <w:rPr>
              <w:rFonts w:ascii="Arial" w:hAnsi="Arial" w:cs="Arial"/>
              <w:color w:val="7F7F7F" w:themeColor="text1" w:themeTint="80"/>
              <w:sz w:val="16"/>
              <w:szCs w:val="16"/>
            </w:rPr>
            <w:t>MB: 00712990 ■</w:t>
          </w:r>
          <w:r w:rsidRPr="0081657B">
            <w:rPr>
              <w:rFonts w:ascii="Arial" w:hAnsi="Arial" w:cs="Arial"/>
              <w:sz w:val="16"/>
              <w:szCs w:val="16"/>
            </w:rPr>
            <w:t xml:space="preserve"> </w:t>
          </w:r>
          <w:r w:rsidRPr="0081657B">
            <w:rPr>
              <w:rFonts w:ascii="Arial" w:hAnsi="Arial" w:cs="Arial"/>
              <w:color w:val="7F7F7F" w:themeColor="text1" w:themeTint="80"/>
              <w:sz w:val="16"/>
              <w:szCs w:val="16"/>
            </w:rPr>
            <w:t>OIB: 11854878552</w:t>
          </w:r>
        </w:p>
      </w:tc>
    </w:tr>
  </w:tbl>
  <w:p w:rsidR="007232FD" w:rsidRDefault="007232FD" w:rsidP="00574D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A8" w:rsidRDefault="007047A8" w:rsidP="00AF6CB3">
      <w:pPr>
        <w:spacing w:after="0" w:line="240" w:lineRule="auto"/>
      </w:pPr>
      <w:r>
        <w:separator/>
      </w:r>
    </w:p>
  </w:footnote>
  <w:footnote w:type="continuationSeparator" w:id="0">
    <w:p w:rsidR="007047A8" w:rsidRDefault="007047A8" w:rsidP="00AF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FD" w:rsidRPr="00AF6CB3" w:rsidRDefault="007232FD" w:rsidP="00BB6F92">
    <w:pPr>
      <w:pStyle w:val="Header"/>
    </w:pPr>
    <w:r>
      <w:t>Opća bolnica - Zadar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330" w:type="dxa"/>
      <w:tblBorders>
        <w:top w:val="none" w:sz="0" w:space="0" w:color="auto"/>
        <w:left w:val="none" w:sz="0" w:space="0" w:color="auto"/>
        <w:bottom w:val="single" w:sz="12" w:space="0" w:color="E8B54D" w:themeColor="accent5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98"/>
      <w:gridCol w:w="5088"/>
      <w:gridCol w:w="4044"/>
    </w:tblGrid>
    <w:tr w:rsidR="007232FD" w:rsidRPr="004A595F" w:rsidTr="00A82F95">
      <w:trPr>
        <w:trHeight w:val="1265"/>
      </w:trPr>
      <w:tc>
        <w:tcPr>
          <w:tcW w:w="1198" w:type="dxa"/>
          <w:tcBorders>
            <w:bottom w:val="nil"/>
          </w:tcBorders>
        </w:tcPr>
        <w:p w:rsidR="007232FD" w:rsidRPr="004A595F" w:rsidRDefault="007232FD" w:rsidP="00574D5E">
          <w:pPr>
            <w:pStyle w:val="Header"/>
            <w:rPr>
              <w:rFonts w:ascii="Trajan Pro" w:hAnsi="Trajan Pro" w:cs="Tahoma"/>
              <w:b/>
              <w:sz w:val="32"/>
            </w:rPr>
          </w:pPr>
          <w:r>
            <w:rPr>
              <w:rFonts w:ascii="Trajan Pro" w:hAnsi="Trajan Pro" w:cs="Tahoma"/>
              <w:b/>
              <w:noProof/>
              <w:sz w:val="32"/>
              <w:lang w:eastAsia="hr-HR"/>
            </w:rPr>
            <w:drawing>
              <wp:inline distT="0" distB="0" distL="0" distR="0">
                <wp:extent cx="673100" cy="6731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_ZD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tcBorders>
            <w:bottom w:val="nil"/>
          </w:tcBorders>
          <w:vAlign w:val="center"/>
        </w:tcPr>
        <w:p w:rsidR="007232FD" w:rsidRPr="003F3F8F" w:rsidRDefault="007232FD" w:rsidP="00574D5E">
          <w:pPr>
            <w:pStyle w:val="Header"/>
            <w:rPr>
              <w:rFonts w:ascii="Arial" w:hAnsi="Arial" w:cs="Arial"/>
              <w:sz w:val="36"/>
            </w:rPr>
          </w:pPr>
          <w:r w:rsidRPr="003F3F8F">
            <w:rPr>
              <w:rFonts w:ascii="Arial" w:hAnsi="Arial" w:cs="Arial"/>
              <w:sz w:val="36"/>
            </w:rPr>
            <w:t>OPĆA BOLNICA ZADAR</w:t>
          </w:r>
        </w:p>
        <w:p w:rsidR="007232FD" w:rsidRPr="003F3F8F" w:rsidRDefault="007232FD" w:rsidP="00574D5E">
          <w:pPr>
            <w:pStyle w:val="Header"/>
            <w:rPr>
              <w:rFonts w:ascii="Arial" w:hAnsi="Arial" w:cs="Arial"/>
              <w:i/>
              <w:color w:val="404040" w:themeColor="text1" w:themeTint="BF"/>
              <w:sz w:val="18"/>
            </w:rPr>
          </w:pPr>
          <w:r>
            <w:rPr>
              <w:rFonts w:ascii="Arial" w:hAnsi="Arial" w:cs="Arial"/>
              <w:b/>
              <w:i/>
              <w:color w:val="47534C" w:themeColor="accent1" w:themeShade="80"/>
              <w:sz w:val="18"/>
            </w:rPr>
            <w:t>Ured ravnatelja</w:t>
          </w:r>
        </w:p>
      </w:tc>
      <w:tc>
        <w:tcPr>
          <w:tcW w:w="4044" w:type="dxa"/>
          <w:tcBorders>
            <w:bottom w:val="nil"/>
          </w:tcBorders>
          <w:vAlign w:val="bottom"/>
        </w:tcPr>
        <w:p w:rsidR="007232FD" w:rsidRPr="003F3F8F" w:rsidRDefault="007232FD" w:rsidP="00574D5E">
          <w:pPr>
            <w:jc w:val="right"/>
            <w:rPr>
              <w:rFonts w:ascii="Arial" w:hAnsi="Arial" w:cs="Arial"/>
              <w:i/>
              <w:color w:val="000000" w:themeColor="text1"/>
              <w:sz w:val="16"/>
            </w:rPr>
          </w:pPr>
          <w:r w:rsidRPr="003F3F8F">
            <w:rPr>
              <w:rFonts w:ascii="Arial" w:hAnsi="Arial" w:cs="Arial"/>
              <w:i/>
              <w:color w:val="000000" w:themeColor="text1"/>
              <w:sz w:val="16"/>
            </w:rPr>
            <w:t>Bože Peričića 5, 23000 Zadar, HR</w:t>
          </w:r>
        </w:p>
        <w:p w:rsidR="007232FD" w:rsidRPr="003F3F8F" w:rsidRDefault="007232FD" w:rsidP="00574D5E">
          <w:pPr>
            <w:jc w:val="right"/>
            <w:rPr>
              <w:rFonts w:ascii="Arial" w:hAnsi="Arial" w:cs="Arial"/>
              <w:i/>
              <w:color w:val="000000" w:themeColor="text1"/>
              <w:sz w:val="16"/>
            </w:rPr>
          </w:pPr>
          <w:r w:rsidRPr="003F3F8F">
            <w:rPr>
              <w:rFonts w:ascii="Arial" w:hAnsi="Arial" w:cs="Arial"/>
              <w:i/>
              <w:color w:val="000000" w:themeColor="text1"/>
              <w:sz w:val="16"/>
            </w:rPr>
            <w:t xml:space="preserve">Tel: +385 23 505 </w:t>
          </w:r>
          <w:r>
            <w:rPr>
              <w:rFonts w:ascii="Arial" w:hAnsi="Arial" w:cs="Arial"/>
              <w:i/>
              <w:color w:val="000000" w:themeColor="text1"/>
              <w:sz w:val="16"/>
            </w:rPr>
            <w:t>500;</w:t>
          </w:r>
        </w:p>
        <w:p w:rsidR="007232FD" w:rsidRPr="003F3F8F" w:rsidRDefault="007232FD" w:rsidP="00574D5E">
          <w:pPr>
            <w:jc w:val="right"/>
            <w:rPr>
              <w:rFonts w:ascii="Arial" w:hAnsi="Arial" w:cs="Arial"/>
              <w:i/>
              <w:color w:val="000000" w:themeColor="text1"/>
              <w:sz w:val="16"/>
            </w:rPr>
          </w:pPr>
          <w:r w:rsidRPr="003F3F8F">
            <w:rPr>
              <w:rFonts w:ascii="Arial" w:hAnsi="Arial" w:cs="Arial"/>
              <w:i/>
              <w:color w:val="000000" w:themeColor="text1"/>
              <w:sz w:val="16"/>
            </w:rPr>
            <w:t xml:space="preserve">Fax: +385 23 </w:t>
          </w:r>
          <w:r>
            <w:rPr>
              <w:rFonts w:ascii="Arial" w:hAnsi="Arial" w:cs="Arial"/>
              <w:i/>
              <w:color w:val="000000" w:themeColor="text1"/>
              <w:sz w:val="16"/>
            </w:rPr>
            <w:t>312 724</w:t>
          </w:r>
        </w:p>
        <w:p w:rsidR="007232FD" w:rsidRPr="003F3F8F" w:rsidRDefault="007232FD" w:rsidP="00574D5E">
          <w:pPr>
            <w:tabs>
              <w:tab w:val="left" w:pos="490"/>
              <w:tab w:val="right" w:pos="3611"/>
            </w:tabs>
            <w:rPr>
              <w:rFonts w:ascii="Arial" w:hAnsi="Arial" w:cs="Arial"/>
              <w:i/>
              <w:color w:val="000000" w:themeColor="text1"/>
              <w:sz w:val="16"/>
            </w:rPr>
          </w:pPr>
          <w:r w:rsidRPr="003F3F8F">
            <w:rPr>
              <w:rFonts w:ascii="Arial" w:hAnsi="Arial" w:cs="Arial"/>
              <w:i/>
              <w:color w:val="000000" w:themeColor="text1"/>
              <w:sz w:val="16"/>
            </w:rPr>
            <w:tab/>
          </w:r>
          <w:r w:rsidRPr="003F3F8F">
            <w:rPr>
              <w:rFonts w:ascii="Arial" w:hAnsi="Arial" w:cs="Arial"/>
              <w:i/>
              <w:color w:val="000000" w:themeColor="text1"/>
              <w:sz w:val="16"/>
            </w:rPr>
            <w:tab/>
            <w:t xml:space="preserve">Web: </w:t>
          </w:r>
          <w:r w:rsidRPr="003F3F8F">
            <w:rPr>
              <w:rFonts w:ascii="Arial" w:hAnsi="Arial" w:cs="Arial"/>
              <w:i/>
              <w:color w:val="47534C" w:themeColor="accent1" w:themeShade="80"/>
              <w:sz w:val="16"/>
            </w:rPr>
            <w:t>www.bolnica-zadar.hr</w:t>
          </w:r>
        </w:p>
        <w:p w:rsidR="007232FD" w:rsidRPr="003F3F8F" w:rsidRDefault="007232FD" w:rsidP="00574D5E">
          <w:pPr>
            <w:tabs>
              <w:tab w:val="left" w:pos="490"/>
              <w:tab w:val="right" w:pos="3611"/>
            </w:tabs>
            <w:jc w:val="right"/>
            <w:rPr>
              <w:rFonts w:ascii="Arial" w:hAnsi="Arial" w:cs="Arial"/>
            </w:rPr>
          </w:pPr>
          <w:r w:rsidRPr="003F3F8F">
            <w:rPr>
              <w:rFonts w:ascii="Arial" w:hAnsi="Arial" w:cs="Arial"/>
              <w:i/>
              <w:color w:val="000000" w:themeColor="text1"/>
              <w:sz w:val="16"/>
            </w:rPr>
            <w:t xml:space="preserve">E-mail: </w:t>
          </w:r>
          <w:r>
            <w:rPr>
              <w:rFonts w:ascii="Arial" w:hAnsi="Arial" w:cs="Arial"/>
              <w:i/>
              <w:color w:val="47534C" w:themeColor="accent1" w:themeShade="80"/>
              <w:sz w:val="16"/>
            </w:rPr>
            <w:t>ravnatelj</w:t>
          </w:r>
          <w:r w:rsidRPr="003F3F8F">
            <w:rPr>
              <w:rFonts w:ascii="Arial" w:hAnsi="Arial" w:cs="Arial"/>
              <w:i/>
              <w:color w:val="47534C" w:themeColor="accent1" w:themeShade="80"/>
              <w:sz w:val="16"/>
            </w:rPr>
            <w:t>@bolnica-zadar.hr</w:t>
          </w:r>
        </w:p>
      </w:tc>
    </w:tr>
    <w:tr w:rsidR="007232FD" w:rsidTr="00A82F95">
      <w:trPr>
        <w:trHeight w:val="56"/>
      </w:trPr>
      <w:tc>
        <w:tcPr>
          <w:tcW w:w="1198" w:type="dxa"/>
          <w:tcBorders>
            <w:bottom w:val="single" w:sz="24" w:space="0" w:color="E8B54D" w:themeColor="accent5"/>
          </w:tcBorders>
        </w:tcPr>
        <w:p w:rsidR="007232FD" w:rsidRDefault="007232FD" w:rsidP="00574D5E">
          <w:pPr>
            <w:pStyle w:val="Header"/>
            <w:rPr>
              <w:rFonts w:ascii="Cambria" w:hAnsi="Cambria"/>
              <w:b/>
            </w:rPr>
          </w:pPr>
        </w:p>
      </w:tc>
      <w:tc>
        <w:tcPr>
          <w:tcW w:w="5088" w:type="dxa"/>
          <w:tcBorders>
            <w:bottom w:val="single" w:sz="24" w:space="0" w:color="E8B54D" w:themeColor="accent5"/>
          </w:tcBorders>
        </w:tcPr>
        <w:p w:rsidR="007232FD" w:rsidRPr="003F3F8F" w:rsidRDefault="007232FD" w:rsidP="00574D5E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4044" w:type="dxa"/>
          <w:tcBorders>
            <w:bottom w:val="single" w:sz="24" w:space="0" w:color="E8B54D" w:themeColor="accent5"/>
          </w:tcBorders>
        </w:tcPr>
        <w:p w:rsidR="007232FD" w:rsidRPr="003F3F8F" w:rsidRDefault="007232FD" w:rsidP="00574D5E">
          <w:pPr>
            <w:pStyle w:val="Header"/>
            <w:rPr>
              <w:rFonts w:ascii="Arial" w:hAnsi="Arial" w:cs="Arial"/>
              <w:b/>
            </w:rPr>
          </w:pPr>
        </w:p>
      </w:tc>
    </w:tr>
  </w:tbl>
  <w:p w:rsidR="007232FD" w:rsidRPr="00BB6F92" w:rsidRDefault="007232FD" w:rsidP="00E4054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1F88"/>
    <w:multiLevelType w:val="hybridMultilevel"/>
    <w:tmpl w:val="A6161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2F1E"/>
    <w:multiLevelType w:val="hybridMultilevel"/>
    <w:tmpl w:val="AFC259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3E3E"/>
    <w:multiLevelType w:val="hybridMultilevel"/>
    <w:tmpl w:val="23ECA1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14EE3"/>
    <w:multiLevelType w:val="hybridMultilevel"/>
    <w:tmpl w:val="1E283E58"/>
    <w:lvl w:ilvl="0" w:tplc="389C1E1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D4199"/>
    <w:multiLevelType w:val="hybridMultilevel"/>
    <w:tmpl w:val="A23EB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81DBF"/>
    <w:multiLevelType w:val="hybridMultilevel"/>
    <w:tmpl w:val="CAEEB07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AAC647C"/>
    <w:multiLevelType w:val="hybridMultilevel"/>
    <w:tmpl w:val="DFE01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5B3"/>
    <w:multiLevelType w:val="multilevel"/>
    <w:tmpl w:val="302EAA8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AD1043"/>
    <w:multiLevelType w:val="hybridMultilevel"/>
    <w:tmpl w:val="057EF22E"/>
    <w:lvl w:ilvl="0" w:tplc="C7CEAF8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41B1D"/>
    <w:multiLevelType w:val="hybridMultilevel"/>
    <w:tmpl w:val="BD0C2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E3743"/>
    <w:multiLevelType w:val="hybridMultilevel"/>
    <w:tmpl w:val="FCA01ACC"/>
    <w:lvl w:ilvl="0" w:tplc="21042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0F15"/>
    <w:multiLevelType w:val="hybridMultilevel"/>
    <w:tmpl w:val="A972181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0FE3462"/>
    <w:multiLevelType w:val="hybridMultilevel"/>
    <w:tmpl w:val="99FCE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750BF"/>
    <w:multiLevelType w:val="hybridMultilevel"/>
    <w:tmpl w:val="EDEE7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67E7F"/>
    <w:multiLevelType w:val="hybridMultilevel"/>
    <w:tmpl w:val="F122434E"/>
    <w:lvl w:ilvl="0" w:tplc="0ED8DCB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90DFB"/>
    <w:multiLevelType w:val="hybridMultilevel"/>
    <w:tmpl w:val="215415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FD4316"/>
    <w:multiLevelType w:val="hybridMultilevel"/>
    <w:tmpl w:val="642445C0"/>
    <w:lvl w:ilvl="0" w:tplc="9282275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06822"/>
    <w:multiLevelType w:val="hybridMultilevel"/>
    <w:tmpl w:val="4CF00E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8850A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30DB8"/>
    <w:multiLevelType w:val="hybridMultilevel"/>
    <w:tmpl w:val="025A91A4"/>
    <w:lvl w:ilvl="0" w:tplc="A094F6A0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8"/>
  </w:num>
  <w:num w:numId="12">
    <w:abstractNumId w:val="7"/>
  </w:num>
  <w:num w:numId="13">
    <w:abstractNumId w:val="1"/>
  </w:num>
  <w:num w:numId="14">
    <w:abstractNumId w:val="9"/>
  </w:num>
  <w:num w:numId="15">
    <w:abstractNumId w:val="4"/>
  </w:num>
  <w:num w:numId="16">
    <w:abstractNumId w:val="10"/>
  </w:num>
  <w:num w:numId="17">
    <w:abstractNumId w:val="0"/>
  </w:num>
  <w:num w:numId="18">
    <w:abstractNumId w:val="3"/>
  </w:num>
  <w:num w:numId="19">
    <w:abstractNumId w:val="8"/>
  </w:num>
  <w:num w:numId="20">
    <w:abstractNumId w:val="7"/>
  </w:num>
  <w:num w:numId="21">
    <w:abstractNumId w:val="7"/>
  </w:num>
  <w:num w:numId="22">
    <w:abstractNumId w:val="14"/>
  </w:num>
  <w:num w:numId="23">
    <w:abstractNumId w:val="17"/>
  </w:num>
  <w:num w:numId="24">
    <w:abstractNumId w:val="13"/>
  </w:num>
  <w:num w:numId="25">
    <w:abstractNumId w:val="16"/>
  </w:num>
  <w:num w:numId="26">
    <w:abstractNumId w:val="15"/>
  </w:num>
  <w:num w:numId="27">
    <w:abstractNumId w:val="2"/>
  </w:num>
  <w:num w:numId="28">
    <w:abstractNumId w:val="11"/>
  </w:num>
  <w:num w:numId="29">
    <w:abstractNumId w:val="5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6CB3"/>
    <w:rsid w:val="00006BC1"/>
    <w:rsid w:val="000172EC"/>
    <w:rsid w:val="00023BE5"/>
    <w:rsid w:val="000277F9"/>
    <w:rsid w:val="00030362"/>
    <w:rsid w:val="00034082"/>
    <w:rsid w:val="00041C6E"/>
    <w:rsid w:val="00042A54"/>
    <w:rsid w:val="00046906"/>
    <w:rsid w:val="00064AC0"/>
    <w:rsid w:val="00072666"/>
    <w:rsid w:val="00080934"/>
    <w:rsid w:val="00090BFE"/>
    <w:rsid w:val="000A0C1A"/>
    <w:rsid w:val="000B2CED"/>
    <w:rsid w:val="000D4C71"/>
    <w:rsid w:val="000E12DA"/>
    <w:rsid w:val="000E1FCD"/>
    <w:rsid w:val="000E4AEE"/>
    <w:rsid w:val="000F5EC0"/>
    <w:rsid w:val="00103EB7"/>
    <w:rsid w:val="00104B8A"/>
    <w:rsid w:val="00106891"/>
    <w:rsid w:val="00107F5C"/>
    <w:rsid w:val="001109CB"/>
    <w:rsid w:val="0011264F"/>
    <w:rsid w:val="001245AD"/>
    <w:rsid w:val="001429D8"/>
    <w:rsid w:val="00142C08"/>
    <w:rsid w:val="001449F1"/>
    <w:rsid w:val="00154501"/>
    <w:rsid w:val="00154AFD"/>
    <w:rsid w:val="00165342"/>
    <w:rsid w:val="00166429"/>
    <w:rsid w:val="001671D7"/>
    <w:rsid w:val="001760A6"/>
    <w:rsid w:val="00182D67"/>
    <w:rsid w:val="001856BC"/>
    <w:rsid w:val="00185867"/>
    <w:rsid w:val="00196B0F"/>
    <w:rsid w:val="001A02C9"/>
    <w:rsid w:val="001A3F18"/>
    <w:rsid w:val="001A45C3"/>
    <w:rsid w:val="001B192D"/>
    <w:rsid w:val="001B44C6"/>
    <w:rsid w:val="001B625B"/>
    <w:rsid w:val="001B68DB"/>
    <w:rsid w:val="001D46E7"/>
    <w:rsid w:val="001D5663"/>
    <w:rsid w:val="001D5B57"/>
    <w:rsid w:val="001E24EC"/>
    <w:rsid w:val="001F4460"/>
    <w:rsid w:val="001F5AD0"/>
    <w:rsid w:val="001F6A8F"/>
    <w:rsid w:val="00203A50"/>
    <w:rsid w:val="00204204"/>
    <w:rsid w:val="00205EDF"/>
    <w:rsid w:val="00213037"/>
    <w:rsid w:val="00226F63"/>
    <w:rsid w:val="00232784"/>
    <w:rsid w:val="00235BC4"/>
    <w:rsid w:val="00240306"/>
    <w:rsid w:val="00240B04"/>
    <w:rsid w:val="00242984"/>
    <w:rsid w:val="00251365"/>
    <w:rsid w:val="00255B9D"/>
    <w:rsid w:val="0025629E"/>
    <w:rsid w:val="002642B5"/>
    <w:rsid w:val="00265F10"/>
    <w:rsid w:val="0027004F"/>
    <w:rsid w:val="00277C6D"/>
    <w:rsid w:val="002802F9"/>
    <w:rsid w:val="002819DE"/>
    <w:rsid w:val="00286739"/>
    <w:rsid w:val="00286846"/>
    <w:rsid w:val="00292A78"/>
    <w:rsid w:val="00293B63"/>
    <w:rsid w:val="002A59EE"/>
    <w:rsid w:val="002B1AB8"/>
    <w:rsid w:val="002B3530"/>
    <w:rsid w:val="002B5092"/>
    <w:rsid w:val="002C275C"/>
    <w:rsid w:val="002D1294"/>
    <w:rsid w:val="002D4017"/>
    <w:rsid w:val="002D59CC"/>
    <w:rsid w:val="002E23ED"/>
    <w:rsid w:val="002E2FEE"/>
    <w:rsid w:val="002E7D8D"/>
    <w:rsid w:val="002F0004"/>
    <w:rsid w:val="002F01B0"/>
    <w:rsid w:val="00302AE5"/>
    <w:rsid w:val="00302AFF"/>
    <w:rsid w:val="00302D32"/>
    <w:rsid w:val="0030409E"/>
    <w:rsid w:val="003068CB"/>
    <w:rsid w:val="00314EC0"/>
    <w:rsid w:val="00326961"/>
    <w:rsid w:val="00327560"/>
    <w:rsid w:val="003361FC"/>
    <w:rsid w:val="00345C80"/>
    <w:rsid w:val="00345D97"/>
    <w:rsid w:val="003541ED"/>
    <w:rsid w:val="003578A7"/>
    <w:rsid w:val="00357C64"/>
    <w:rsid w:val="00362036"/>
    <w:rsid w:val="0036224F"/>
    <w:rsid w:val="00363822"/>
    <w:rsid w:val="00364442"/>
    <w:rsid w:val="00377AA5"/>
    <w:rsid w:val="003820E4"/>
    <w:rsid w:val="00383AA9"/>
    <w:rsid w:val="00397EF2"/>
    <w:rsid w:val="003A0743"/>
    <w:rsid w:val="003B0677"/>
    <w:rsid w:val="003B412C"/>
    <w:rsid w:val="003C3159"/>
    <w:rsid w:val="003C425B"/>
    <w:rsid w:val="003C7DCF"/>
    <w:rsid w:val="003D2C1E"/>
    <w:rsid w:val="003D57ED"/>
    <w:rsid w:val="003E1ABC"/>
    <w:rsid w:val="003E480C"/>
    <w:rsid w:val="004078A6"/>
    <w:rsid w:val="0041115F"/>
    <w:rsid w:val="004173F3"/>
    <w:rsid w:val="00424AF2"/>
    <w:rsid w:val="00426647"/>
    <w:rsid w:val="004315A9"/>
    <w:rsid w:val="00432ED2"/>
    <w:rsid w:val="00435257"/>
    <w:rsid w:val="00436103"/>
    <w:rsid w:val="00442E9D"/>
    <w:rsid w:val="0044643A"/>
    <w:rsid w:val="00454E71"/>
    <w:rsid w:val="0047167C"/>
    <w:rsid w:val="004749EA"/>
    <w:rsid w:val="00477C48"/>
    <w:rsid w:val="004823E2"/>
    <w:rsid w:val="00482572"/>
    <w:rsid w:val="004922C1"/>
    <w:rsid w:val="00494B82"/>
    <w:rsid w:val="004960FF"/>
    <w:rsid w:val="004C2E38"/>
    <w:rsid w:val="004C68CE"/>
    <w:rsid w:val="004D17AE"/>
    <w:rsid w:val="004D6D2B"/>
    <w:rsid w:val="004F1747"/>
    <w:rsid w:val="004F1A4D"/>
    <w:rsid w:val="004F3009"/>
    <w:rsid w:val="004F3397"/>
    <w:rsid w:val="004F4506"/>
    <w:rsid w:val="004F4F1A"/>
    <w:rsid w:val="004F7433"/>
    <w:rsid w:val="0051470A"/>
    <w:rsid w:val="00516788"/>
    <w:rsid w:val="00517602"/>
    <w:rsid w:val="00520649"/>
    <w:rsid w:val="00523559"/>
    <w:rsid w:val="00532AC2"/>
    <w:rsid w:val="0053727B"/>
    <w:rsid w:val="00537390"/>
    <w:rsid w:val="00544070"/>
    <w:rsid w:val="005453C1"/>
    <w:rsid w:val="00550854"/>
    <w:rsid w:val="00554EF9"/>
    <w:rsid w:val="00556605"/>
    <w:rsid w:val="005648FF"/>
    <w:rsid w:val="005672BD"/>
    <w:rsid w:val="00567A68"/>
    <w:rsid w:val="00574D5E"/>
    <w:rsid w:val="0058249A"/>
    <w:rsid w:val="00582E35"/>
    <w:rsid w:val="00583C7C"/>
    <w:rsid w:val="00584286"/>
    <w:rsid w:val="00592F02"/>
    <w:rsid w:val="005A0920"/>
    <w:rsid w:val="005B1DE8"/>
    <w:rsid w:val="005B530A"/>
    <w:rsid w:val="005B7E5E"/>
    <w:rsid w:val="005C3BE1"/>
    <w:rsid w:val="005C5EF7"/>
    <w:rsid w:val="005D3D7F"/>
    <w:rsid w:val="005E211B"/>
    <w:rsid w:val="005E2BC3"/>
    <w:rsid w:val="005E2D19"/>
    <w:rsid w:val="005E4EFE"/>
    <w:rsid w:val="005F4DBC"/>
    <w:rsid w:val="006007D7"/>
    <w:rsid w:val="006105CA"/>
    <w:rsid w:val="0061300B"/>
    <w:rsid w:val="00617BC7"/>
    <w:rsid w:val="00617C9A"/>
    <w:rsid w:val="006323A7"/>
    <w:rsid w:val="0063398F"/>
    <w:rsid w:val="00642936"/>
    <w:rsid w:val="00644C9C"/>
    <w:rsid w:val="00645C53"/>
    <w:rsid w:val="00645CB6"/>
    <w:rsid w:val="00651FEC"/>
    <w:rsid w:val="00653125"/>
    <w:rsid w:val="00653ADF"/>
    <w:rsid w:val="00655C1D"/>
    <w:rsid w:val="00656525"/>
    <w:rsid w:val="00657D76"/>
    <w:rsid w:val="006665A5"/>
    <w:rsid w:val="006700A7"/>
    <w:rsid w:val="006700AB"/>
    <w:rsid w:val="00673FCD"/>
    <w:rsid w:val="0067401D"/>
    <w:rsid w:val="00675AD0"/>
    <w:rsid w:val="006817E8"/>
    <w:rsid w:val="00690CB3"/>
    <w:rsid w:val="006A13E1"/>
    <w:rsid w:val="006A3CA0"/>
    <w:rsid w:val="006A62BB"/>
    <w:rsid w:val="006B74B8"/>
    <w:rsid w:val="006C185D"/>
    <w:rsid w:val="006C2D6C"/>
    <w:rsid w:val="006C50C9"/>
    <w:rsid w:val="006D1BED"/>
    <w:rsid w:val="006D2B0F"/>
    <w:rsid w:val="006D69B8"/>
    <w:rsid w:val="006D76FF"/>
    <w:rsid w:val="006E3112"/>
    <w:rsid w:val="006F3C09"/>
    <w:rsid w:val="006F42CB"/>
    <w:rsid w:val="006F5AF1"/>
    <w:rsid w:val="00700CFE"/>
    <w:rsid w:val="007047A8"/>
    <w:rsid w:val="00704C61"/>
    <w:rsid w:val="00712B66"/>
    <w:rsid w:val="007168D1"/>
    <w:rsid w:val="007232FD"/>
    <w:rsid w:val="00725AA3"/>
    <w:rsid w:val="00725FAF"/>
    <w:rsid w:val="007265BE"/>
    <w:rsid w:val="007364E1"/>
    <w:rsid w:val="00746242"/>
    <w:rsid w:val="00753F56"/>
    <w:rsid w:val="00756491"/>
    <w:rsid w:val="00756926"/>
    <w:rsid w:val="007572BF"/>
    <w:rsid w:val="0075777D"/>
    <w:rsid w:val="0076056B"/>
    <w:rsid w:val="007670C7"/>
    <w:rsid w:val="00773020"/>
    <w:rsid w:val="00784F2B"/>
    <w:rsid w:val="007865B0"/>
    <w:rsid w:val="007867E9"/>
    <w:rsid w:val="007A13C8"/>
    <w:rsid w:val="007A1B09"/>
    <w:rsid w:val="007B1B75"/>
    <w:rsid w:val="007B4196"/>
    <w:rsid w:val="007C2C75"/>
    <w:rsid w:val="007C6E87"/>
    <w:rsid w:val="007D34ED"/>
    <w:rsid w:val="007D6A81"/>
    <w:rsid w:val="007E6368"/>
    <w:rsid w:val="007E773E"/>
    <w:rsid w:val="007E7B3C"/>
    <w:rsid w:val="007F338F"/>
    <w:rsid w:val="007F4FC8"/>
    <w:rsid w:val="007F578E"/>
    <w:rsid w:val="008104E7"/>
    <w:rsid w:val="0081765C"/>
    <w:rsid w:val="00821761"/>
    <w:rsid w:val="00833320"/>
    <w:rsid w:val="00833351"/>
    <w:rsid w:val="00835ED2"/>
    <w:rsid w:val="0084019E"/>
    <w:rsid w:val="0084219F"/>
    <w:rsid w:val="008428CC"/>
    <w:rsid w:val="00844BA9"/>
    <w:rsid w:val="00855EF7"/>
    <w:rsid w:val="008658B7"/>
    <w:rsid w:val="0087023A"/>
    <w:rsid w:val="008743F3"/>
    <w:rsid w:val="00881BA0"/>
    <w:rsid w:val="00882F9F"/>
    <w:rsid w:val="00885151"/>
    <w:rsid w:val="0088661D"/>
    <w:rsid w:val="00896CA4"/>
    <w:rsid w:val="008A4EB3"/>
    <w:rsid w:val="008A5DC7"/>
    <w:rsid w:val="008B1F69"/>
    <w:rsid w:val="008B2A8E"/>
    <w:rsid w:val="008B643D"/>
    <w:rsid w:val="008C13ED"/>
    <w:rsid w:val="008C4531"/>
    <w:rsid w:val="008C4B1F"/>
    <w:rsid w:val="008D1BD9"/>
    <w:rsid w:val="008D5987"/>
    <w:rsid w:val="008D79B5"/>
    <w:rsid w:val="008D7C7B"/>
    <w:rsid w:val="008E2047"/>
    <w:rsid w:val="008E715B"/>
    <w:rsid w:val="008F0AD9"/>
    <w:rsid w:val="008F108D"/>
    <w:rsid w:val="008F22B5"/>
    <w:rsid w:val="008F71E4"/>
    <w:rsid w:val="00901756"/>
    <w:rsid w:val="009066DE"/>
    <w:rsid w:val="00910CCA"/>
    <w:rsid w:val="00915137"/>
    <w:rsid w:val="00916528"/>
    <w:rsid w:val="00916778"/>
    <w:rsid w:val="0091785B"/>
    <w:rsid w:val="00923B3B"/>
    <w:rsid w:val="00932AAE"/>
    <w:rsid w:val="0093338E"/>
    <w:rsid w:val="00934C0D"/>
    <w:rsid w:val="0093725C"/>
    <w:rsid w:val="00941378"/>
    <w:rsid w:val="0094458C"/>
    <w:rsid w:val="00944B6D"/>
    <w:rsid w:val="00950237"/>
    <w:rsid w:val="00950BA9"/>
    <w:rsid w:val="00951E52"/>
    <w:rsid w:val="00951F6C"/>
    <w:rsid w:val="00956DC9"/>
    <w:rsid w:val="0096441B"/>
    <w:rsid w:val="0097438A"/>
    <w:rsid w:val="00977A7A"/>
    <w:rsid w:val="009801E5"/>
    <w:rsid w:val="00981080"/>
    <w:rsid w:val="0098238D"/>
    <w:rsid w:val="00990C29"/>
    <w:rsid w:val="00991308"/>
    <w:rsid w:val="00992DE6"/>
    <w:rsid w:val="009966C6"/>
    <w:rsid w:val="009B0B67"/>
    <w:rsid w:val="009B5444"/>
    <w:rsid w:val="009B729E"/>
    <w:rsid w:val="009C1A35"/>
    <w:rsid w:val="009C27A5"/>
    <w:rsid w:val="009C4F03"/>
    <w:rsid w:val="009C74D5"/>
    <w:rsid w:val="009E2F0F"/>
    <w:rsid w:val="009E3F0B"/>
    <w:rsid w:val="009F43AE"/>
    <w:rsid w:val="00A01A85"/>
    <w:rsid w:val="00A02C22"/>
    <w:rsid w:val="00A0692C"/>
    <w:rsid w:val="00A073EF"/>
    <w:rsid w:val="00A113FB"/>
    <w:rsid w:val="00A15567"/>
    <w:rsid w:val="00A15960"/>
    <w:rsid w:val="00A21303"/>
    <w:rsid w:val="00A22CBE"/>
    <w:rsid w:val="00A23923"/>
    <w:rsid w:val="00A24F00"/>
    <w:rsid w:val="00A26466"/>
    <w:rsid w:val="00A32058"/>
    <w:rsid w:val="00A41662"/>
    <w:rsid w:val="00A44A8F"/>
    <w:rsid w:val="00A469AB"/>
    <w:rsid w:val="00A520EA"/>
    <w:rsid w:val="00A54C95"/>
    <w:rsid w:val="00A55B43"/>
    <w:rsid w:val="00A57A89"/>
    <w:rsid w:val="00A67E57"/>
    <w:rsid w:val="00A734A8"/>
    <w:rsid w:val="00A752E4"/>
    <w:rsid w:val="00A77F51"/>
    <w:rsid w:val="00A82F95"/>
    <w:rsid w:val="00A84BD2"/>
    <w:rsid w:val="00A8676A"/>
    <w:rsid w:val="00A91922"/>
    <w:rsid w:val="00AA15E0"/>
    <w:rsid w:val="00AA5542"/>
    <w:rsid w:val="00AA5CD7"/>
    <w:rsid w:val="00AB0180"/>
    <w:rsid w:val="00AB072F"/>
    <w:rsid w:val="00AC2E71"/>
    <w:rsid w:val="00AC30FA"/>
    <w:rsid w:val="00AC440A"/>
    <w:rsid w:val="00AC627C"/>
    <w:rsid w:val="00AC65F2"/>
    <w:rsid w:val="00AC7BB9"/>
    <w:rsid w:val="00AD331B"/>
    <w:rsid w:val="00AD68E8"/>
    <w:rsid w:val="00AD6E60"/>
    <w:rsid w:val="00AE4A56"/>
    <w:rsid w:val="00AE5CD1"/>
    <w:rsid w:val="00AF5B21"/>
    <w:rsid w:val="00AF6CB3"/>
    <w:rsid w:val="00B0720E"/>
    <w:rsid w:val="00B129D8"/>
    <w:rsid w:val="00B14AC3"/>
    <w:rsid w:val="00B25846"/>
    <w:rsid w:val="00B25D9B"/>
    <w:rsid w:val="00B27825"/>
    <w:rsid w:val="00B350ED"/>
    <w:rsid w:val="00B432A9"/>
    <w:rsid w:val="00B530CB"/>
    <w:rsid w:val="00B54536"/>
    <w:rsid w:val="00B64E9E"/>
    <w:rsid w:val="00B70F27"/>
    <w:rsid w:val="00B73E8A"/>
    <w:rsid w:val="00B76488"/>
    <w:rsid w:val="00B80794"/>
    <w:rsid w:val="00B8264E"/>
    <w:rsid w:val="00BA0D72"/>
    <w:rsid w:val="00BA6153"/>
    <w:rsid w:val="00BA6768"/>
    <w:rsid w:val="00BB6F92"/>
    <w:rsid w:val="00BC6B73"/>
    <w:rsid w:val="00BD687B"/>
    <w:rsid w:val="00BD6C81"/>
    <w:rsid w:val="00BF13F5"/>
    <w:rsid w:val="00C03592"/>
    <w:rsid w:val="00C05DAD"/>
    <w:rsid w:val="00C17EC9"/>
    <w:rsid w:val="00C226A0"/>
    <w:rsid w:val="00C24334"/>
    <w:rsid w:val="00C327DD"/>
    <w:rsid w:val="00C35D9A"/>
    <w:rsid w:val="00C40792"/>
    <w:rsid w:val="00C47801"/>
    <w:rsid w:val="00C56005"/>
    <w:rsid w:val="00C6267B"/>
    <w:rsid w:val="00C67D63"/>
    <w:rsid w:val="00C76CF9"/>
    <w:rsid w:val="00C80DD3"/>
    <w:rsid w:val="00C9054E"/>
    <w:rsid w:val="00C90DB6"/>
    <w:rsid w:val="00C94640"/>
    <w:rsid w:val="00CB6933"/>
    <w:rsid w:val="00CB7854"/>
    <w:rsid w:val="00CB7DB0"/>
    <w:rsid w:val="00CC6E73"/>
    <w:rsid w:val="00CC78AB"/>
    <w:rsid w:val="00CD046F"/>
    <w:rsid w:val="00CD15A0"/>
    <w:rsid w:val="00CD1E38"/>
    <w:rsid w:val="00CD2E25"/>
    <w:rsid w:val="00CE340F"/>
    <w:rsid w:val="00CE4A0E"/>
    <w:rsid w:val="00CE7D1A"/>
    <w:rsid w:val="00CF36B4"/>
    <w:rsid w:val="00CF64F6"/>
    <w:rsid w:val="00CF68DF"/>
    <w:rsid w:val="00D01CB4"/>
    <w:rsid w:val="00D0377E"/>
    <w:rsid w:val="00D2755D"/>
    <w:rsid w:val="00D31629"/>
    <w:rsid w:val="00D33A51"/>
    <w:rsid w:val="00D36F21"/>
    <w:rsid w:val="00D379C4"/>
    <w:rsid w:val="00D44CB4"/>
    <w:rsid w:val="00D46003"/>
    <w:rsid w:val="00D46650"/>
    <w:rsid w:val="00D52839"/>
    <w:rsid w:val="00D60558"/>
    <w:rsid w:val="00D64AFA"/>
    <w:rsid w:val="00D6720C"/>
    <w:rsid w:val="00D72FBB"/>
    <w:rsid w:val="00D80792"/>
    <w:rsid w:val="00D8583D"/>
    <w:rsid w:val="00D9264F"/>
    <w:rsid w:val="00D93EC9"/>
    <w:rsid w:val="00D95653"/>
    <w:rsid w:val="00D95E3E"/>
    <w:rsid w:val="00DB07EB"/>
    <w:rsid w:val="00DB6812"/>
    <w:rsid w:val="00DC3030"/>
    <w:rsid w:val="00DC4353"/>
    <w:rsid w:val="00DD045A"/>
    <w:rsid w:val="00DD07C9"/>
    <w:rsid w:val="00DE50AD"/>
    <w:rsid w:val="00DF069D"/>
    <w:rsid w:val="00DF1FF1"/>
    <w:rsid w:val="00DF2DF5"/>
    <w:rsid w:val="00DF555C"/>
    <w:rsid w:val="00E01D15"/>
    <w:rsid w:val="00E11A6F"/>
    <w:rsid w:val="00E138A3"/>
    <w:rsid w:val="00E16C1A"/>
    <w:rsid w:val="00E21B22"/>
    <w:rsid w:val="00E228AA"/>
    <w:rsid w:val="00E250A0"/>
    <w:rsid w:val="00E33DD6"/>
    <w:rsid w:val="00E33F1D"/>
    <w:rsid w:val="00E35F71"/>
    <w:rsid w:val="00E3629E"/>
    <w:rsid w:val="00E37473"/>
    <w:rsid w:val="00E40548"/>
    <w:rsid w:val="00E415DD"/>
    <w:rsid w:val="00E43E8C"/>
    <w:rsid w:val="00E451A9"/>
    <w:rsid w:val="00E55589"/>
    <w:rsid w:val="00E64279"/>
    <w:rsid w:val="00E86D04"/>
    <w:rsid w:val="00E86D9F"/>
    <w:rsid w:val="00E87C6B"/>
    <w:rsid w:val="00E95439"/>
    <w:rsid w:val="00E974F7"/>
    <w:rsid w:val="00EA48E1"/>
    <w:rsid w:val="00EA5823"/>
    <w:rsid w:val="00EC3619"/>
    <w:rsid w:val="00EC6840"/>
    <w:rsid w:val="00EC7BA7"/>
    <w:rsid w:val="00ED0808"/>
    <w:rsid w:val="00ED0EB5"/>
    <w:rsid w:val="00ED2C9E"/>
    <w:rsid w:val="00ED499C"/>
    <w:rsid w:val="00EE77BE"/>
    <w:rsid w:val="00EE7BF2"/>
    <w:rsid w:val="00EF1090"/>
    <w:rsid w:val="00EF19BC"/>
    <w:rsid w:val="00EF7953"/>
    <w:rsid w:val="00F01403"/>
    <w:rsid w:val="00F02FCB"/>
    <w:rsid w:val="00F11E00"/>
    <w:rsid w:val="00F12BA2"/>
    <w:rsid w:val="00F13588"/>
    <w:rsid w:val="00F23057"/>
    <w:rsid w:val="00F240A7"/>
    <w:rsid w:val="00F24F16"/>
    <w:rsid w:val="00F262F1"/>
    <w:rsid w:val="00F27629"/>
    <w:rsid w:val="00F32A01"/>
    <w:rsid w:val="00F34B24"/>
    <w:rsid w:val="00F36B43"/>
    <w:rsid w:val="00F370BB"/>
    <w:rsid w:val="00F44DF1"/>
    <w:rsid w:val="00F4659E"/>
    <w:rsid w:val="00F5534A"/>
    <w:rsid w:val="00F56BDC"/>
    <w:rsid w:val="00F56C32"/>
    <w:rsid w:val="00F60DDF"/>
    <w:rsid w:val="00F674F2"/>
    <w:rsid w:val="00F71CE5"/>
    <w:rsid w:val="00F81CC7"/>
    <w:rsid w:val="00F82B60"/>
    <w:rsid w:val="00F87069"/>
    <w:rsid w:val="00F875CF"/>
    <w:rsid w:val="00F92E53"/>
    <w:rsid w:val="00F95D7E"/>
    <w:rsid w:val="00FA18D2"/>
    <w:rsid w:val="00FA1CBA"/>
    <w:rsid w:val="00FA6144"/>
    <w:rsid w:val="00FA6AD2"/>
    <w:rsid w:val="00FB2DC5"/>
    <w:rsid w:val="00FC54B8"/>
    <w:rsid w:val="00FD10DA"/>
    <w:rsid w:val="00FD5B71"/>
    <w:rsid w:val="00FE2C45"/>
    <w:rsid w:val="00FE3183"/>
    <w:rsid w:val="00FF1EEB"/>
    <w:rsid w:val="00FF3EA2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D0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5A9"/>
    <w:pPr>
      <w:pBdr>
        <w:bottom w:val="thinThickSmallGap" w:sz="12" w:space="1" w:color="A13A28" w:themeColor="accent2" w:themeShade="BF"/>
      </w:pBdr>
      <w:spacing w:before="400"/>
      <w:jc w:val="center"/>
      <w:outlineLvl w:val="0"/>
    </w:pPr>
    <w:rPr>
      <w:caps/>
      <w:color w:val="5C5827" w:themeColor="accent3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F92"/>
    <w:pPr>
      <w:pBdr>
        <w:bottom w:val="single" w:sz="4" w:space="1" w:color="6B261B" w:themeColor="accent2" w:themeShade="7F"/>
      </w:pBdr>
      <w:spacing w:before="400"/>
      <w:jc w:val="center"/>
      <w:outlineLvl w:val="1"/>
    </w:pPr>
    <w:rPr>
      <w:caps/>
      <w:color w:val="6C261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5A9"/>
    <w:pPr>
      <w:pBdr>
        <w:top w:val="dotted" w:sz="4" w:space="1" w:color="6B261B" w:themeColor="accent2" w:themeShade="7F"/>
        <w:bottom w:val="dotted" w:sz="4" w:space="1" w:color="6B261B" w:themeColor="accent2" w:themeShade="7F"/>
      </w:pBdr>
      <w:spacing w:before="300"/>
      <w:jc w:val="center"/>
      <w:outlineLvl w:val="2"/>
    </w:pPr>
    <w:rPr>
      <w:b/>
      <w:caps/>
      <w:color w:val="42402C" w:themeColor="accent4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F92"/>
    <w:pPr>
      <w:pBdr>
        <w:bottom w:val="dotted" w:sz="4" w:space="1" w:color="A13A28" w:themeColor="accent2" w:themeShade="BF"/>
      </w:pBdr>
      <w:spacing w:after="120"/>
      <w:jc w:val="center"/>
      <w:outlineLvl w:val="3"/>
    </w:pPr>
    <w:rPr>
      <w:caps/>
      <w:color w:val="6B261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6F92"/>
    <w:pPr>
      <w:spacing w:before="320" w:after="120"/>
      <w:jc w:val="center"/>
      <w:outlineLvl w:val="4"/>
    </w:pPr>
    <w:rPr>
      <w:caps/>
      <w:color w:val="6B261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F92"/>
    <w:pPr>
      <w:spacing w:after="120"/>
      <w:jc w:val="center"/>
      <w:outlineLvl w:val="5"/>
    </w:pPr>
    <w:rPr>
      <w:caps/>
      <w:color w:val="A13A28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F92"/>
    <w:pPr>
      <w:spacing w:after="120"/>
      <w:jc w:val="center"/>
      <w:outlineLvl w:val="6"/>
    </w:pPr>
    <w:rPr>
      <w:i/>
      <w:iCs/>
      <w:caps/>
      <w:color w:val="A13A28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F9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F9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5A9"/>
    <w:rPr>
      <w:rFonts w:ascii="Times New Roman" w:hAnsi="Times New Roman"/>
      <w:caps/>
      <w:color w:val="5C5827" w:themeColor="accent3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F92"/>
    <w:rPr>
      <w:caps/>
      <w:color w:val="6C261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15A9"/>
    <w:rPr>
      <w:rFonts w:ascii="Times New Roman" w:hAnsi="Times New Roman"/>
      <w:b/>
      <w:caps/>
      <w:color w:val="42402C" w:themeColor="accent4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F92"/>
    <w:rPr>
      <w:caps/>
      <w:color w:val="6B261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BB6F92"/>
    <w:rPr>
      <w:caps/>
      <w:color w:val="6B261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F92"/>
    <w:rPr>
      <w:caps/>
      <w:color w:val="A13A28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F92"/>
    <w:rPr>
      <w:i/>
      <w:iCs/>
      <w:caps/>
      <w:color w:val="A13A28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F9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F9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B6F9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6F92"/>
    <w:pPr>
      <w:pBdr>
        <w:top w:val="dotted" w:sz="2" w:space="1" w:color="6C261B" w:themeColor="accent2" w:themeShade="80"/>
        <w:bottom w:val="dotted" w:sz="2" w:space="6" w:color="6C261B" w:themeColor="accent2" w:themeShade="80"/>
      </w:pBdr>
      <w:spacing w:before="500" w:after="300" w:line="240" w:lineRule="auto"/>
      <w:jc w:val="center"/>
    </w:pPr>
    <w:rPr>
      <w:caps/>
      <w:color w:val="6C261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B6F92"/>
    <w:rPr>
      <w:caps/>
      <w:color w:val="6C261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F9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B6F9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B6F92"/>
    <w:rPr>
      <w:b/>
      <w:bCs/>
      <w:color w:val="A13A28" w:themeColor="accent2" w:themeShade="BF"/>
      <w:spacing w:val="5"/>
    </w:rPr>
  </w:style>
  <w:style w:type="character" w:styleId="Emphasis">
    <w:name w:val="Emphasis"/>
    <w:uiPriority w:val="20"/>
    <w:qFormat/>
    <w:rsid w:val="00BB6F9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B6F9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6F92"/>
  </w:style>
  <w:style w:type="paragraph" w:styleId="ListParagraph">
    <w:name w:val="List Paragraph"/>
    <w:aliases w:val="AOP"/>
    <w:basedOn w:val="Normal"/>
    <w:uiPriority w:val="34"/>
    <w:qFormat/>
    <w:rsid w:val="004315A9"/>
    <w:pPr>
      <w:numPr>
        <w:numId w:val="2"/>
      </w:numPr>
      <w:spacing w:before="240" w:after="120" w:line="240" w:lineRule="auto"/>
      <w:contextualSpacing/>
    </w:pPr>
    <w:rPr>
      <w:b/>
      <w:color w:val="42402C" w:themeColor="accent4" w:themeShade="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B6F9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B6F9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F92"/>
    <w:pPr>
      <w:pBdr>
        <w:top w:val="dotted" w:sz="2" w:space="10" w:color="6C261B" w:themeColor="accent2" w:themeShade="80"/>
        <w:bottom w:val="dotted" w:sz="2" w:space="4" w:color="6C261B" w:themeColor="accent2" w:themeShade="80"/>
      </w:pBdr>
      <w:spacing w:before="160" w:line="300" w:lineRule="auto"/>
      <w:ind w:left="1440" w:right="1440"/>
    </w:pPr>
    <w:rPr>
      <w:caps/>
      <w:color w:val="6B261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F92"/>
    <w:rPr>
      <w:caps/>
      <w:color w:val="6B261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B6F92"/>
    <w:rPr>
      <w:i/>
      <w:iCs/>
    </w:rPr>
  </w:style>
  <w:style w:type="character" w:styleId="IntenseEmphasis">
    <w:name w:val="Intense Emphasis"/>
    <w:uiPriority w:val="21"/>
    <w:qFormat/>
    <w:rsid w:val="00BB6F9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B6F92"/>
    <w:rPr>
      <w:rFonts w:asciiTheme="minorHAnsi" w:eastAsiaTheme="minorEastAsia" w:hAnsiTheme="minorHAnsi" w:cstheme="minorBidi"/>
      <w:i/>
      <w:iCs/>
      <w:color w:val="6B261B" w:themeColor="accent2" w:themeShade="7F"/>
    </w:rPr>
  </w:style>
  <w:style w:type="character" w:styleId="IntenseReference">
    <w:name w:val="Intense Reference"/>
    <w:uiPriority w:val="32"/>
    <w:qFormat/>
    <w:rsid w:val="004315A9"/>
    <w:rPr>
      <w:rFonts w:asciiTheme="minorHAnsi" w:eastAsiaTheme="minorEastAsia" w:hAnsiTheme="minorHAnsi" w:cstheme="minorBidi"/>
      <w:b/>
      <w:bCs/>
      <w:i/>
      <w:iCs/>
      <w:color w:val="42402C" w:themeColor="accent4" w:themeShade="80"/>
    </w:rPr>
  </w:style>
  <w:style w:type="character" w:styleId="BookTitle">
    <w:name w:val="Book Title"/>
    <w:uiPriority w:val="33"/>
    <w:qFormat/>
    <w:rsid w:val="00BB6F92"/>
    <w:rPr>
      <w:caps/>
      <w:color w:val="6B261B" w:themeColor="accent2" w:themeShade="7F"/>
      <w:spacing w:val="5"/>
      <w:u w:color="6B261B" w:themeColor="accent2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BB6F92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F6C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CB3"/>
  </w:style>
  <w:style w:type="paragraph" w:styleId="Footer">
    <w:name w:val="footer"/>
    <w:basedOn w:val="Normal"/>
    <w:link w:val="FooterChar"/>
    <w:uiPriority w:val="99"/>
    <w:unhideWhenUsed/>
    <w:rsid w:val="00AF6C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CB3"/>
  </w:style>
  <w:style w:type="paragraph" w:styleId="BalloonText">
    <w:name w:val="Balloon Text"/>
    <w:basedOn w:val="Normal"/>
    <w:link w:val="BalloonTextChar"/>
    <w:uiPriority w:val="99"/>
    <w:semiHidden/>
    <w:unhideWhenUsed/>
    <w:rsid w:val="00AF6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B3"/>
    <w:rPr>
      <w:rFonts w:ascii="Tahoma" w:hAnsi="Tahoma" w:cs="Tahoma"/>
      <w:sz w:val="16"/>
      <w:szCs w:val="16"/>
    </w:rPr>
  </w:style>
  <w:style w:type="paragraph" w:customStyle="1" w:styleId="Biljekeuzfinizv">
    <w:name w:val="Bilješke uz fin izv"/>
    <w:basedOn w:val="Normal"/>
    <w:link w:val="BiljekeuzfinizvChar"/>
    <w:qFormat/>
    <w:rsid w:val="009C74D5"/>
  </w:style>
  <w:style w:type="character" w:customStyle="1" w:styleId="BiljekeuzfinizvChar">
    <w:name w:val="Bilješke uz fin izv Char"/>
    <w:basedOn w:val="DefaultParagraphFont"/>
    <w:link w:val="Biljekeuzfinizv"/>
    <w:rsid w:val="009C74D5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95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6">
    <w:name w:val="Medium List 2 Accent 6"/>
    <w:basedOn w:val="TableNormal"/>
    <w:uiPriority w:val="66"/>
    <w:rsid w:val="00950B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86C71" w:themeColor="accent6"/>
        <w:left w:val="single" w:sz="8" w:space="0" w:color="786C71" w:themeColor="accent6"/>
        <w:bottom w:val="single" w:sz="8" w:space="0" w:color="786C71" w:themeColor="accent6"/>
        <w:right w:val="single" w:sz="8" w:space="0" w:color="786C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6C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6C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6C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6C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ijetlareetka1">
    <w:name w:val="Svijetla rešetka1"/>
    <w:basedOn w:val="TableNormal"/>
    <w:uiPriority w:val="62"/>
    <w:rsid w:val="00950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950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6C71" w:themeColor="accent6"/>
        <w:left w:val="single" w:sz="8" w:space="0" w:color="786C71" w:themeColor="accent6"/>
        <w:bottom w:val="single" w:sz="8" w:space="0" w:color="786C71" w:themeColor="accent6"/>
        <w:right w:val="single" w:sz="8" w:space="0" w:color="786C71" w:themeColor="accent6"/>
        <w:insideH w:val="single" w:sz="8" w:space="0" w:color="786C71" w:themeColor="accent6"/>
        <w:insideV w:val="single" w:sz="8" w:space="0" w:color="786C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6C71" w:themeColor="accent6"/>
          <w:left w:val="single" w:sz="8" w:space="0" w:color="786C71" w:themeColor="accent6"/>
          <w:bottom w:val="single" w:sz="18" w:space="0" w:color="786C71" w:themeColor="accent6"/>
          <w:right w:val="single" w:sz="8" w:space="0" w:color="786C71" w:themeColor="accent6"/>
          <w:insideH w:val="nil"/>
          <w:insideV w:val="single" w:sz="8" w:space="0" w:color="786C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6C71" w:themeColor="accent6"/>
          <w:left w:val="single" w:sz="8" w:space="0" w:color="786C71" w:themeColor="accent6"/>
          <w:bottom w:val="single" w:sz="8" w:space="0" w:color="786C71" w:themeColor="accent6"/>
          <w:right w:val="single" w:sz="8" w:space="0" w:color="786C71" w:themeColor="accent6"/>
          <w:insideH w:val="nil"/>
          <w:insideV w:val="single" w:sz="8" w:space="0" w:color="786C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6C71" w:themeColor="accent6"/>
          <w:left w:val="single" w:sz="8" w:space="0" w:color="786C71" w:themeColor="accent6"/>
          <w:bottom w:val="single" w:sz="8" w:space="0" w:color="786C71" w:themeColor="accent6"/>
          <w:right w:val="single" w:sz="8" w:space="0" w:color="786C71" w:themeColor="accent6"/>
        </w:tcBorders>
      </w:tcPr>
    </w:tblStylePr>
    <w:tblStylePr w:type="band1Vert">
      <w:tblPr/>
      <w:tcPr>
        <w:tcBorders>
          <w:top w:val="single" w:sz="8" w:space="0" w:color="786C71" w:themeColor="accent6"/>
          <w:left w:val="single" w:sz="8" w:space="0" w:color="786C71" w:themeColor="accent6"/>
          <w:bottom w:val="single" w:sz="8" w:space="0" w:color="786C71" w:themeColor="accent6"/>
          <w:right w:val="single" w:sz="8" w:space="0" w:color="786C71" w:themeColor="accent6"/>
        </w:tcBorders>
        <w:shd w:val="clear" w:color="auto" w:fill="DDDADB" w:themeFill="accent6" w:themeFillTint="3F"/>
      </w:tcPr>
    </w:tblStylePr>
    <w:tblStylePr w:type="band1Horz">
      <w:tblPr/>
      <w:tcPr>
        <w:tcBorders>
          <w:top w:val="single" w:sz="8" w:space="0" w:color="786C71" w:themeColor="accent6"/>
          <w:left w:val="single" w:sz="8" w:space="0" w:color="786C71" w:themeColor="accent6"/>
          <w:bottom w:val="single" w:sz="8" w:space="0" w:color="786C71" w:themeColor="accent6"/>
          <w:right w:val="single" w:sz="8" w:space="0" w:color="786C71" w:themeColor="accent6"/>
          <w:insideV w:val="single" w:sz="8" w:space="0" w:color="786C71" w:themeColor="accent6"/>
        </w:tcBorders>
        <w:shd w:val="clear" w:color="auto" w:fill="DDDADB" w:themeFill="accent6" w:themeFillTint="3F"/>
      </w:tcPr>
    </w:tblStylePr>
    <w:tblStylePr w:type="band2Horz">
      <w:tblPr/>
      <w:tcPr>
        <w:tcBorders>
          <w:top w:val="single" w:sz="8" w:space="0" w:color="786C71" w:themeColor="accent6"/>
          <w:left w:val="single" w:sz="8" w:space="0" w:color="786C71" w:themeColor="accent6"/>
          <w:bottom w:val="single" w:sz="8" w:space="0" w:color="786C71" w:themeColor="accent6"/>
          <w:right w:val="single" w:sz="8" w:space="0" w:color="786C71" w:themeColor="accent6"/>
          <w:insideV w:val="single" w:sz="8" w:space="0" w:color="786C71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F92E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6C71" w:themeColor="accent6"/>
        <w:left w:val="single" w:sz="8" w:space="0" w:color="786C71" w:themeColor="accent6"/>
        <w:bottom w:val="single" w:sz="8" w:space="0" w:color="786C71" w:themeColor="accent6"/>
        <w:right w:val="single" w:sz="8" w:space="0" w:color="786C71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6C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6C71" w:themeColor="accent6"/>
          <w:left w:val="single" w:sz="8" w:space="0" w:color="786C71" w:themeColor="accent6"/>
          <w:bottom w:val="single" w:sz="8" w:space="0" w:color="786C71" w:themeColor="accent6"/>
          <w:right w:val="single" w:sz="8" w:space="0" w:color="786C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6C71" w:themeColor="accent6"/>
          <w:left w:val="single" w:sz="8" w:space="0" w:color="786C71" w:themeColor="accent6"/>
          <w:bottom w:val="single" w:sz="8" w:space="0" w:color="786C71" w:themeColor="accent6"/>
          <w:right w:val="single" w:sz="8" w:space="0" w:color="786C71" w:themeColor="accent6"/>
        </w:tcBorders>
      </w:tcPr>
    </w:tblStylePr>
    <w:tblStylePr w:type="band1Horz">
      <w:tblPr/>
      <w:tcPr>
        <w:tcBorders>
          <w:top w:val="single" w:sz="8" w:space="0" w:color="786C71" w:themeColor="accent6"/>
          <w:left w:val="single" w:sz="8" w:space="0" w:color="786C71" w:themeColor="accent6"/>
          <w:bottom w:val="single" w:sz="8" w:space="0" w:color="786C71" w:themeColor="accent6"/>
          <w:right w:val="single" w:sz="8" w:space="0" w:color="786C71" w:themeColor="accent6"/>
        </w:tcBorders>
      </w:tcPr>
    </w:tblStylePr>
  </w:style>
  <w:style w:type="table" w:customStyle="1" w:styleId="Svijetlosjenanje1">
    <w:name w:val="Svijetlo sjenčanje1"/>
    <w:basedOn w:val="TableNormal"/>
    <w:uiPriority w:val="60"/>
    <w:rsid w:val="008702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4">
    <w:name w:val="Light List Accent 4"/>
    <w:basedOn w:val="TableNormal"/>
    <w:uiPriority w:val="61"/>
    <w:rsid w:val="008702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8058" w:themeColor="accent4"/>
        <w:left w:val="single" w:sz="8" w:space="0" w:color="848058" w:themeColor="accent4"/>
        <w:bottom w:val="single" w:sz="8" w:space="0" w:color="848058" w:themeColor="accent4"/>
        <w:right w:val="single" w:sz="8" w:space="0" w:color="84805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80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8058" w:themeColor="accent4"/>
          <w:left w:val="single" w:sz="8" w:space="0" w:color="848058" w:themeColor="accent4"/>
          <w:bottom w:val="single" w:sz="8" w:space="0" w:color="848058" w:themeColor="accent4"/>
          <w:right w:val="single" w:sz="8" w:space="0" w:color="8480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8058" w:themeColor="accent4"/>
          <w:left w:val="single" w:sz="8" w:space="0" w:color="848058" w:themeColor="accent4"/>
          <w:bottom w:val="single" w:sz="8" w:space="0" w:color="848058" w:themeColor="accent4"/>
          <w:right w:val="single" w:sz="8" w:space="0" w:color="848058" w:themeColor="accent4"/>
        </w:tcBorders>
      </w:tcPr>
    </w:tblStylePr>
    <w:tblStylePr w:type="band1Horz">
      <w:tblPr/>
      <w:tcPr>
        <w:tcBorders>
          <w:top w:val="single" w:sz="8" w:space="0" w:color="848058" w:themeColor="accent4"/>
          <w:left w:val="single" w:sz="8" w:space="0" w:color="848058" w:themeColor="accent4"/>
          <w:bottom w:val="single" w:sz="8" w:space="0" w:color="848058" w:themeColor="accent4"/>
          <w:right w:val="single" w:sz="8" w:space="0" w:color="848058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702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5AE53" w:themeColor="accent3"/>
        <w:left w:val="single" w:sz="8" w:space="0" w:color="B5AE53" w:themeColor="accent3"/>
        <w:bottom w:val="single" w:sz="8" w:space="0" w:color="B5AE53" w:themeColor="accent3"/>
        <w:right w:val="single" w:sz="8" w:space="0" w:color="B5AE5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AE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</w:tcBorders>
      </w:tcPr>
    </w:tblStylePr>
    <w:tblStylePr w:type="band1Horz">
      <w:tblPr/>
      <w:tcPr>
        <w:tcBorders>
          <w:top w:val="single" w:sz="8" w:space="0" w:color="B5AE53" w:themeColor="accent3"/>
          <w:left w:val="single" w:sz="8" w:space="0" w:color="B5AE53" w:themeColor="accent3"/>
          <w:bottom w:val="single" w:sz="8" w:space="0" w:color="B5AE53" w:themeColor="accent3"/>
          <w:right w:val="single" w:sz="8" w:space="0" w:color="B5AE5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01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5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43F" w:themeColor="accent2"/>
          <w:left w:val="single" w:sz="8" w:space="0" w:color="CF543F" w:themeColor="accent2"/>
          <w:bottom w:val="single" w:sz="8" w:space="0" w:color="CF543F" w:themeColor="accent2"/>
          <w:right w:val="single" w:sz="8" w:space="0" w:color="CF5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543F" w:themeColor="accent2"/>
          <w:left w:val="single" w:sz="8" w:space="0" w:color="CF543F" w:themeColor="accent2"/>
          <w:bottom w:val="single" w:sz="8" w:space="0" w:color="CF543F" w:themeColor="accent2"/>
          <w:right w:val="single" w:sz="8" w:space="0" w:color="CF543F" w:themeColor="accent2"/>
        </w:tcBorders>
      </w:tcPr>
    </w:tblStylePr>
    <w:tblStylePr w:type="band1Horz">
      <w:tblPr/>
      <w:tcPr>
        <w:tcBorders>
          <w:top w:val="single" w:sz="8" w:space="0" w:color="CF543F" w:themeColor="accent2"/>
          <w:left w:val="single" w:sz="8" w:space="0" w:color="CF543F" w:themeColor="accent2"/>
          <w:bottom w:val="single" w:sz="8" w:space="0" w:color="CF543F" w:themeColor="accent2"/>
          <w:right w:val="single" w:sz="8" w:space="0" w:color="CF543F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ica@bolnica-zadar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Apotekarska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Prilagođen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B206-54E8-4AA9-82C9-F6A26C61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6989</Words>
  <Characters>39839</Characters>
  <Application>Microsoft Office Word</Application>
  <DocSecurity>0</DocSecurity>
  <Lines>331</Lines>
  <Paragraphs>93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Boško</dc:creator>
  <cp:lastModifiedBy>Marijana</cp:lastModifiedBy>
  <cp:revision>3</cp:revision>
  <cp:lastPrinted>2021-01-31T13:53:00Z</cp:lastPrinted>
  <dcterms:created xsi:type="dcterms:W3CDTF">2021-02-01T08:26:00Z</dcterms:created>
  <dcterms:modified xsi:type="dcterms:W3CDTF">2021-02-01T09:41:00Z</dcterms:modified>
</cp:coreProperties>
</file>